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הנשיאה</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ליזי פרוינד</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AA5DDB" w:rsidRDefault="00551D74">
                <w:pPr>
                  <w:suppressLineNumbers/>
                  <w:rPr>
                    <w:rFonts w:ascii="Arial" w:hAnsi="Arial"/>
                    <w:b/>
                    <w:bCs/>
                    <w:noProof w:val="0"/>
                    <w:sz w:val="26"/>
                    <w:szCs w:val="26"/>
                    <w:rtl/>
                  </w:rPr>
                </w:pPr>
                <w:r>
                  <w:rPr>
                    <w:rFonts w:ascii="Arial" w:hAnsi="Arial"/>
                    <w:b/>
                    <w:bCs/>
                    <w:noProof w:val="0"/>
                    <w:sz w:val="26"/>
                    <w:szCs w:val="26"/>
                    <w:rtl/>
                  </w:rPr>
                  <w:t>מאשימה</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A46399" w:rsidP="00897DAF">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897DAF">
                  <w:rPr>
                    <w:rFonts w:ascii="Arial" w:hAnsi="Arial"/>
                    <w:b/>
                    <w:bCs/>
                    <w:noProof w:val="0"/>
                    <w:sz w:val="26"/>
                    <w:szCs w:val="26"/>
                    <w:rtl/>
                  </w:rPr>
                  <w:t>מדינת ישראל</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897DAF">
                  <w:rPr>
                    <w:rFonts w:ascii="Arial" w:hAnsi="Arial" w:hint="eastAsia"/>
                    <w:b/>
                    <w:bCs/>
                    <w:noProof w:val="0"/>
                    <w:sz w:val="26"/>
                    <w:szCs w:val="26"/>
                    <w:rtl/>
                  </w:rPr>
                  <w:t>מדינת ישראל</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sdt>
              <w:sdtPr>
                <w:rPr>
                  <w:rFonts w:ascii="Arial" w:hAnsi="Arial"/>
                  <w:b/>
                  <w:bCs/>
                  <w:noProof w:val="0"/>
                  <w:sz w:val="26"/>
                  <w:szCs w:val="26"/>
                  <w:rtl/>
                </w:rPr>
                <w:alias w:val="2316"/>
                <w:tag w:val="2316"/>
                <w:id w:val="-182208172"/>
                <w:lock w:val="contentLocked"/>
                <w:placeholder>
                  <w:docPart w:val="CDA250771D1A45329B0F0271A0383878"/>
                </w:placeholder>
                <w:text w:multiLine="1"/>
              </w:sdtPr>
              <w:sdtEndP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A46399" w:rsidP="00D44968">
            <w:pPr>
              <w:suppressLineNumbers/>
              <w:rPr>
                <w:rFonts w:ascii="Arial" w:hAnsi="Arial"/>
                <w:b/>
                <w:bCs/>
                <w:noProof w:val="0"/>
                <w:sz w:val="26"/>
                <w:szCs w:val="26"/>
              </w:rPr>
            </w:pPr>
            <w:sdt>
              <w:sdtPr>
                <w:rPr>
                  <w:rtl/>
                </w:rPr>
                <w:alias w:val="1184"/>
                <w:tag w:val="1184"/>
                <w:id w:val="-340621022"/>
                <w:text w:multiLine="1"/>
              </w:sdtPr>
              <w:sdtEndPr/>
              <w:sdtContent>
                <w:r w:rsidR="00897DAF">
                  <w:rPr>
                    <w:rFonts w:ascii="Arial" w:hAnsi="Arial"/>
                    <w:b/>
                    <w:bCs/>
                    <w:noProof w:val="0"/>
                    <w:sz w:val="26"/>
                    <w:szCs w:val="26"/>
                    <w:rtl/>
                  </w:rPr>
                  <w:t>נאשמים</w:t>
                </w:r>
              </w:sdtContent>
            </w:sdt>
          </w:p>
        </w:tc>
        <w:tc>
          <w:tcPr>
            <w:tcW w:w="5571" w:type="dxa"/>
          </w:tcPr>
          <w:p w:rsidR="0094424E" w:rsidRPr="00417AD2" w:rsidRDefault="00417AD2" w:rsidP="00897DAF">
            <w:pPr>
              <w:suppressLineNumbers/>
              <w:rPr>
                <w:rFonts w:ascii="Arial" w:hAnsi="Arial"/>
                <w:b/>
                <w:bCs/>
                <w:noProof w:val="0"/>
                <w:sz w:val="26"/>
                <w:szCs w:val="26"/>
                <w:rtl/>
              </w:rPr>
            </w:pPr>
            <w:r>
              <w:rPr>
                <w:rFonts w:hint="cs"/>
                <w:rtl/>
              </w:rPr>
              <w:t xml:space="preserve">          </w:t>
            </w:r>
            <w:r w:rsidRPr="00417AD2">
              <w:rPr>
                <w:rFonts w:hint="cs"/>
                <w:b/>
                <w:bCs/>
                <w:sz w:val="26"/>
                <w:szCs w:val="26"/>
                <w:rtl/>
              </w:rPr>
              <w:t>פלוני (קטין)</w:t>
            </w:r>
          </w:p>
          <w:p w:rsidR="00CF6BB7" w:rsidRDefault="00CF6BB7" w:rsidP="00D44968">
            <w:pPr>
              <w:suppressLineNumbers/>
              <w:rPr>
                <w:b/>
                <w:bCs/>
                <w:noProof w:val="0"/>
                <w:sz w:val="26"/>
                <w:szCs w:val="26"/>
                <w:rtl/>
              </w:rPr>
            </w:pPr>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D44968" w:rsidP="002D24B0">
            <w:pPr>
              <w:bidi w:val="0"/>
              <w:rPr>
                <w:rFonts w:ascii="Arial" w:hAnsi="Arial"/>
                <w:b/>
                <w:bCs/>
                <w:noProof w:val="0"/>
                <w:sz w:val="28"/>
                <w:szCs w:val="28"/>
                <w:u w:val="single"/>
              </w:rPr>
            </w:pPr>
          </w:p>
        </w:tc>
      </w:tr>
    </w:tbl>
    <w:p w:rsidR="002D24B0" w:rsidRPr="002D24B0" w:rsidRDefault="002D24B0" w:rsidP="002D24B0">
      <w:pPr>
        <w:spacing w:line="360" w:lineRule="auto"/>
        <w:jc w:val="both"/>
        <w:rPr>
          <w:rFonts w:ascii="David" w:eastAsia="David" w:hAnsi="David"/>
          <w:b/>
          <w:bCs/>
          <w:noProof w:val="0"/>
          <w:u w:val="single"/>
          <w:rtl/>
        </w:rPr>
      </w:pPr>
      <w:bookmarkStart w:id="1" w:name="NGCSBookmark"/>
      <w:bookmarkEnd w:id="1"/>
    </w:p>
    <w:p w:rsidR="002D24B0" w:rsidRPr="002D24B0" w:rsidRDefault="002D24B0" w:rsidP="002D24B0">
      <w:pPr>
        <w:spacing w:line="360" w:lineRule="auto"/>
        <w:jc w:val="both"/>
        <w:rPr>
          <w:rFonts w:ascii="David" w:eastAsia="David" w:hAnsi="David"/>
          <w:b/>
          <w:bCs/>
          <w:noProof w:val="0"/>
          <w:u w:val="single"/>
          <w:rtl/>
        </w:rPr>
      </w:pPr>
      <w:r w:rsidRPr="002D24B0">
        <w:rPr>
          <w:rFonts w:ascii="David" w:eastAsia="David" w:hAnsi="David" w:hint="cs"/>
          <w:b/>
          <w:bCs/>
          <w:noProof w:val="0"/>
          <w:u w:val="single"/>
          <w:rtl/>
        </w:rPr>
        <w:t>נוכחים:</w:t>
      </w:r>
    </w:p>
    <w:p w:rsidR="002D24B0" w:rsidRPr="002D24B0" w:rsidRDefault="002D24B0" w:rsidP="002D24B0">
      <w:pPr>
        <w:spacing w:line="360" w:lineRule="auto"/>
        <w:jc w:val="both"/>
        <w:rPr>
          <w:rFonts w:ascii="David" w:eastAsia="David" w:hAnsi="David"/>
          <w:noProof w:val="0"/>
        </w:rPr>
      </w:pPr>
      <w:r w:rsidRPr="002D24B0">
        <w:rPr>
          <w:rFonts w:ascii="David" w:eastAsia="David" w:hAnsi="David" w:hint="cs"/>
          <w:noProof w:val="0"/>
          <w:rtl/>
        </w:rPr>
        <w:t>ב"כ המאשימה עו"ד אנה קצובסקי</w:t>
      </w:r>
    </w:p>
    <w:p w:rsidR="002D24B0" w:rsidRPr="002D24B0" w:rsidRDefault="002D24B0" w:rsidP="002D24B0">
      <w:pPr>
        <w:spacing w:line="360" w:lineRule="auto"/>
        <w:jc w:val="both"/>
        <w:rPr>
          <w:rFonts w:ascii="David" w:eastAsia="David" w:hAnsi="David"/>
          <w:noProof w:val="0"/>
        </w:rPr>
      </w:pPr>
      <w:r w:rsidRPr="002D24B0">
        <w:rPr>
          <w:rFonts w:ascii="David" w:eastAsia="David" w:hAnsi="David" w:hint="cs"/>
          <w:noProof w:val="0"/>
          <w:rtl/>
        </w:rPr>
        <w:t>קצינת המבחן גב'  חגית עסיס</w:t>
      </w:r>
    </w:p>
    <w:p w:rsidR="002D24B0" w:rsidRPr="002D24B0" w:rsidRDefault="002D24B0" w:rsidP="002D24B0">
      <w:pPr>
        <w:spacing w:line="360" w:lineRule="auto"/>
        <w:jc w:val="both"/>
        <w:rPr>
          <w:rFonts w:ascii="David" w:eastAsia="David" w:hAnsi="David"/>
          <w:noProof w:val="0"/>
          <w:rtl/>
        </w:rPr>
      </w:pPr>
      <w:r w:rsidRPr="002D24B0">
        <w:rPr>
          <w:rFonts w:ascii="David" w:eastAsia="David" w:hAnsi="David" w:hint="cs"/>
          <w:noProof w:val="0"/>
          <w:rtl/>
        </w:rPr>
        <w:t>אין התייצבות לנאשם</w:t>
      </w:r>
    </w:p>
    <w:p w:rsidR="002D24B0" w:rsidRPr="002D24B0" w:rsidRDefault="002D24B0" w:rsidP="002D24B0">
      <w:pPr>
        <w:spacing w:line="360" w:lineRule="auto"/>
        <w:jc w:val="both"/>
        <w:rPr>
          <w:rFonts w:ascii="David" w:eastAsia="David" w:hAnsi="David"/>
          <w:noProof w:val="0"/>
          <w:rtl/>
        </w:rPr>
      </w:pPr>
      <w:r w:rsidRPr="002D24B0">
        <w:rPr>
          <w:rFonts w:ascii="David" w:eastAsia="David" w:hAnsi="David" w:hint="cs"/>
          <w:noProof w:val="0"/>
          <w:rtl/>
        </w:rPr>
        <w:t>ב"כ הנאשם עו"ד עידו רז (בשם עו"ד אודי עמר)</w:t>
      </w:r>
    </w:p>
    <w:p w:rsidR="002D24B0" w:rsidRPr="002D24B0" w:rsidRDefault="002D24B0" w:rsidP="002D24B0">
      <w:pPr>
        <w:rPr>
          <w:noProof w:val="0"/>
          <w:rtl/>
        </w:rPr>
      </w:pPr>
    </w:p>
    <w:p w:rsidR="002D24B0" w:rsidRPr="002D24B0" w:rsidRDefault="002D24B0" w:rsidP="002D24B0">
      <w:pPr>
        <w:jc w:val="center"/>
        <w:rPr>
          <w:b/>
          <w:bCs/>
          <w:noProof w:val="0"/>
          <w:sz w:val="32"/>
          <w:szCs w:val="32"/>
          <w:u w:val="single"/>
          <w:rtl/>
        </w:rPr>
      </w:pPr>
      <w:r w:rsidRPr="002D24B0">
        <w:rPr>
          <w:b/>
          <w:bCs/>
          <w:noProof w:val="0"/>
          <w:sz w:val="32"/>
          <w:szCs w:val="32"/>
          <w:u w:val="single"/>
          <w:rtl/>
        </w:rPr>
        <w:t>פרוטוקול</w:t>
      </w:r>
      <w:r>
        <w:rPr>
          <w:rFonts w:hint="cs"/>
          <w:b/>
          <w:bCs/>
          <w:noProof w:val="0"/>
          <w:sz w:val="32"/>
          <w:szCs w:val="32"/>
          <w:u w:val="single"/>
          <w:rtl/>
        </w:rPr>
        <w:t xml:space="preserve"> </w:t>
      </w:r>
      <w:r>
        <w:rPr>
          <w:b/>
          <w:bCs/>
          <w:noProof w:val="0"/>
          <w:sz w:val="32"/>
          <w:szCs w:val="32"/>
          <w:u w:val="single"/>
          <w:rtl/>
        </w:rPr>
        <w:t>–</w:t>
      </w:r>
      <w:r>
        <w:rPr>
          <w:rFonts w:hint="cs"/>
          <w:b/>
          <w:bCs/>
          <w:noProof w:val="0"/>
          <w:sz w:val="32"/>
          <w:szCs w:val="32"/>
          <w:u w:val="single"/>
          <w:rtl/>
        </w:rPr>
        <w:t xml:space="preserve"> נוסח מותר בפרסום</w:t>
      </w:r>
    </w:p>
    <w:p w:rsidR="002D24B0" w:rsidRPr="002D24B0" w:rsidRDefault="002D24B0" w:rsidP="002D24B0">
      <w:pPr>
        <w:spacing w:line="360" w:lineRule="auto"/>
        <w:jc w:val="both"/>
        <w:rPr>
          <w:rFonts w:ascii="David" w:eastAsia="David" w:hAnsi="David"/>
          <w:noProof w:val="0"/>
          <w:rtl/>
        </w:rPr>
      </w:pPr>
    </w:p>
    <w:p w:rsidR="002D24B0" w:rsidRPr="002D24B0" w:rsidRDefault="002D24B0" w:rsidP="002D24B0">
      <w:pPr>
        <w:spacing w:line="360" w:lineRule="auto"/>
        <w:jc w:val="both"/>
        <w:rPr>
          <w:rFonts w:ascii="David" w:eastAsia="David" w:hAnsi="David"/>
          <w:b/>
          <w:bCs/>
          <w:noProof w:val="0"/>
          <w:rtl/>
        </w:rPr>
      </w:pPr>
      <w:r w:rsidRPr="002D24B0">
        <w:rPr>
          <w:rFonts w:ascii="David" w:eastAsia="David" w:hAnsi="David" w:hint="cs"/>
          <w:b/>
          <w:bCs/>
          <w:noProof w:val="0"/>
          <w:rtl/>
        </w:rPr>
        <w:t>*בימ"ש מקריא לצדדים את עיקרי ההחלטה</w:t>
      </w:r>
    </w:p>
    <w:p w:rsidR="002D24B0" w:rsidRPr="002D24B0" w:rsidRDefault="002D24B0" w:rsidP="002D24B0">
      <w:pPr>
        <w:spacing w:line="360" w:lineRule="auto"/>
        <w:jc w:val="both"/>
        <w:rPr>
          <w:rFonts w:ascii="David" w:eastAsia="David" w:hAnsi="David"/>
          <w:noProof w:val="0"/>
          <w:rtl/>
        </w:rPr>
      </w:pPr>
    </w:p>
    <w:p w:rsidR="002D24B0" w:rsidRPr="002D24B0" w:rsidRDefault="002D24B0" w:rsidP="002D24B0">
      <w:pPr>
        <w:spacing w:line="360" w:lineRule="auto"/>
        <w:jc w:val="both"/>
        <w:rPr>
          <w:rFonts w:ascii="David" w:eastAsia="David" w:hAnsi="David"/>
          <w:noProof w:val="0"/>
          <w:sz w:val="6"/>
          <w:szCs w:val="6"/>
          <w:rtl/>
        </w:rPr>
      </w:pPr>
      <w:r w:rsidRPr="002D24B0">
        <w:rPr>
          <w:rFonts w:ascii="David" w:eastAsia="David" w:hAnsi="David" w:hint="cs"/>
          <w:noProof w:val="0"/>
          <w:sz w:val="6"/>
          <w:szCs w:val="6"/>
          <w:rtl/>
        </w:rPr>
        <w:t>&lt;#2#&gt;</w:t>
      </w:r>
    </w:p>
    <w:p w:rsidR="002D24B0" w:rsidRPr="002D24B0" w:rsidRDefault="002D24B0" w:rsidP="002D24B0">
      <w:pPr>
        <w:spacing w:line="360" w:lineRule="auto"/>
        <w:jc w:val="center"/>
        <w:rPr>
          <w:rFonts w:ascii="Arial" w:eastAsia="David" w:hAnsi="Arial"/>
          <w:b/>
          <w:bCs/>
          <w:noProof w:val="0"/>
          <w:sz w:val="32"/>
          <w:szCs w:val="32"/>
          <w:u w:val="single"/>
        </w:rPr>
      </w:pPr>
      <w:r w:rsidRPr="002D24B0">
        <w:rPr>
          <w:rFonts w:ascii="Arial" w:eastAsia="David" w:hAnsi="Arial" w:hint="cs"/>
          <w:b/>
          <w:bCs/>
          <w:noProof w:val="0"/>
          <w:sz w:val="32"/>
          <w:szCs w:val="32"/>
          <w:u w:val="single"/>
          <w:rtl/>
        </w:rPr>
        <w:t>החלטה</w:t>
      </w:r>
    </w:p>
    <w:p w:rsidR="002D24B0" w:rsidRPr="002D24B0" w:rsidRDefault="002D24B0" w:rsidP="002D24B0">
      <w:pPr>
        <w:spacing w:line="360" w:lineRule="auto"/>
        <w:jc w:val="both"/>
        <w:rPr>
          <w:rFonts w:ascii="David" w:eastAsia="David" w:hAnsi="David"/>
          <w:noProof w:val="0"/>
          <w:rtl/>
        </w:rPr>
      </w:pPr>
    </w:p>
    <w:p w:rsidR="002D24B0" w:rsidRPr="002D24B0" w:rsidRDefault="002D24B0" w:rsidP="002D24B0">
      <w:pPr>
        <w:spacing w:after="160" w:line="360" w:lineRule="auto"/>
        <w:jc w:val="both"/>
        <w:rPr>
          <w:rFonts w:ascii="David" w:eastAsia="Calibri" w:hAnsi="David"/>
          <w:b/>
          <w:bCs/>
          <w:noProof w:val="0"/>
          <w:rtl/>
        </w:rPr>
      </w:pPr>
      <w:r w:rsidRPr="002D24B0">
        <w:rPr>
          <w:rFonts w:ascii="David" w:eastAsia="Calibri" w:hAnsi="David" w:hint="cs"/>
          <w:b/>
          <w:bCs/>
          <w:noProof w:val="0"/>
          <w:rtl/>
        </w:rPr>
        <w:t>ב"כ הנאשם העלה בפתח ההליך טענה המורכבת משניים – האחת טענת התיישנות בשל חלוף שנה ממועד ביצוע העבירה ולצידה, טענת שיהוי העולה כדי פגם בכתב האישום.</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rtl/>
        </w:rPr>
        <w:t xml:space="preserve">זו לשונו של  כתב האישום אשר הוגש ביום 8.11.22. : </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rtl/>
        </w:rPr>
        <w:t>במועד שאינו ידוע למאשימה באופן מדויק, אך עובר לתאריך 08.11.2021 בשעה 24:18, עמד רכב השייך לחברת "</w:t>
      </w:r>
      <w:r w:rsidRPr="002D24B0">
        <w:rPr>
          <w:rFonts w:ascii="David" w:eastAsia="Calibri" w:hAnsi="David"/>
          <w:noProof w:val="0"/>
        </w:rPr>
        <w:t>car to go</w:t>
      </w:r>
      <w:r w:rsidRPr="002D24B0">
        <w:rPr>
          <w:rFonts w:ascii="David" w:eastAsia="Calibri" w:hAnsi="David" w:hint="cs"/>
          <w:noProof w:val="0"/>
          <w:rtl/>
        </w:rPr>
        <w:t xml:space="preserve">" מספר רכב – 189-49-801 ברחוב בן אלעזר בנתניה. </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rtl/>
        </w:rPr>
        <w:lastRenderedPageBreak/>
        <w:t>בהמשך לכך, בתאריך 8.11.2021 וזאת לאחר השעה 01:00 לפנות בוקר, אך בשעה שאינה ידועה למאשימה במדויק, ניגשו הנאשם, ושותפיו אל הרכב, פרצו אותו, והחלו בנסיעה בו ברחבי העיר, עד אשר התנגשו בחומה. כתוצאה ממעשיהם של הנאשם והאחרים, נגרם לרכב נזקי פח.</w:t>
      </w:r>
    </w:p>
    <w:p w:rsidR="002D24B0" w:rsidRPr="002D24B0" w:rsidRDefault="002D24B0" w:rsidP="002D24B0">
      <w:pPr>
        <w:spacing w:after="160" w:line="360" w:lineRule="auto"/>
        <w:jc w:val="both"/>
        <w:rPr>
          <w:rFonts w:ascii="David" w:eastAsia="Calibri" w:hAnsi="David"/>
          <w:b/>
          <w:bCs/>
          <w:noProof w:val="0"/>
          <w:rtl/>
        </w:rPr>
      </w:pPr>
      <w:r w:rsidRPr="002D24B0">
        <w:rPr>
          <w:rFonts w:ascii="David" w:eastAsia="Calibri" w:hAnsi="David" w:hint="cs"/>
          <w:noProof w:val="0"/>
          <w:rtl/>
        </w:rPr>
        <w:t xml:space="preserve">על כן יוחסו לנאשם עבירות של </w:t>
      </w:r>
      <w:r w:rsidRPr="002D24B0">
        <w:rPr>
          <w:rFonts w:ascii="David" w:eastAsia="Calibri" w:hAnsi="David" w:hint="cs"/>
          <w:b/>
          <w:bCs/>
          <w:noProof w:val="0"/>
          <w:rtl/>
        </w:rPr>
        <w:t xml:space="preserve">פריצה לרכב בכוונה לגנוב בצוותא חדא עבירה לפי סעיף 413 ו סיפא לחוק העונשין, תשל'ז 1977 +סעיף 29 (א), גניבת רכב בצוותא חדא עבירה לפי סעיף 413 ב + סעיף 29 (א) לחוק העונשין תשלז 1977 ועבירה של התנהגות הגורמת נזק לפי תקנה 21 (ב) (2) לתקנות התעבורה תשכ"א 1961. </w:t>
      </w:r>
    </w:p>
    <w:p w:rsidR="002D24B0" w:rsidRPr="002D24B0" w:rsidRDefault="002D24B0" w:rsidP="002D24B0">
      <w:pPr>
        <w:spacing w:after="160" w:line="360" w:lineRule="auto"/>
        <w:jc w:val="both"/>
        <w:rPr>
          <w:rFonts w:ascii="David" w:eastAsia="Calibri" w:hAnsi="David"/>
          <w:noProof w:val="0"/>
          <w:rtl/>
        </w:rPr>
      </w:pP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b/>
          <w:bCs/>
          <w:noProof w:val="0"/>
          <w:u w:val="single"/>
          <w:rtl/>
        </w:rPr>
        <w:t>טיעוני הצדדים</w:t>
      </w:r>
      <w:r w:rsidRPr="002D24B0">
        <w:rPr>
          <w:rFonts w:ascii="David" w:eastAsia="Calibri" w:hAnsi="David" w:hint="cs"/>
          <w:noProof w:val="0"/>
          <w:rtl/>
        </w:rPr>
        <w:t xml:space="preserve"> - </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b/>
          <w:bCs/>
          <w:noProof w:val="0"/>
          <w:rtl/>
        </w:rPr>
        <w:t>טען הסנגור</w:t>
      </w:r>
      <w:r w:rsidRPr="002D24B0">
        <w:rPr>
          <w:rFonts w:ascii="David" w:eastAsia="Calibri" w:hAnsi="David" w:hint="cs"/>
          <w:noProof w:val="0"/>
          <w:rtl/>
        </w:rPr>
        <w:t xml:space="preserve"> כי  על אף המועדים המפורטים בכתה האישום, מחומר הראיות עולה כי כתב האישום הוגש בחלוף שנה מיום ביצוע העבירה ומבלי שהוגש אישור היועמ"ש כנדרש. כמו כן נטען כי פעולת החקירה האחרונה בתיק התבצעה 10 חודשים טרם הגשת כתב האישום, באופן המקים שיהוי. </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rtl/>
        </w:rPr>
        <w:t xml:space="preserve">זאת ביסס הסנגור על עדותה של הגב' צרפתי, נציגת חברת הרכב, מגישת התלונה, אשר ממנה נלמד כי כבר בערבו של יום 07.11.2021, בשעה 21:54, נרשמה במחשבי החברה עדות לפריצה של הרכב וניסיון הנעתו. היינו טרם המועד המצוין בכתב האישום, באופן המחייב אישור יועמ"ש. </w:t>
      </w:r>
    </w:p>
    <w:p w:rsidR="002D24B0" w:rsidRPr="002D24B0" w:rsidRDefault="002D24B0" w:rsidP="002D24B0">
      <w:pPr>
        <w:spacing w:after="160" w:line="360" w:lineRule="auto"/>
        <w:jc w:val="both"/>
        <w:rPr>
          <w:rFonts w:ascii="David" w:eastAsia="Calibri" w:hAnsi="David"/>
          <w:noProof w:val="0"/>
          <w:rtl/>
        </w:rPr>
      </w:pP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b/>
          <w:bCs/>
          <w:noProof w:val="0"/>
          <w:rtl/>
        </w:rPr>
        <w:t>המאשימה</w:t>
      </w:r>
      <w:r w:rsidRPr="002D24B0">
        <w:rPr>
          <w:rFonts w:ascii="David" w:eastAsia="Calibri" w:hAnsi="David" w:hint="cs"/>
          <w:noProof w:val="0"/>
          <w:rtl/>
        </w:rPr>
        <w:t xml:space="preserve"> בתגובתה הכתובה, הסכימה, בהעדר אישור היועמ"ש, למחוק את  העבירה של פריצה לרכב בכוונה לגנוב בצוותא חדא, לאור עדותה הנ"ל של הגב' צרפתי.</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rtl/>
        </w:rPr>
        <w:t xml:space="preserve">ביחס ליתר העבירות ושאר הנטען, גורסת המאשימה כי לא יכול להיות ספק שאלה בוצעו אחר חצות, היינו כבר </w:t>
      </w:r>
      <w:r w:rsidRPr="0031478D">
        <w:rPr>
          <w:rFonts w:ascii="David" w:eastAsia="Calibri" w:hAnsi="David" w:hint="cs"/>
          <w:noProof w:val="0"/>
          <w:rtl/>
        </w:rPr>
        <w:t>אל תוך יום ה-</w:t>
      </w:r>
      <w:r w:rsidRPr="002D24B0">
        <w:rPr>
          <w:rFonts w:ascii="David" w:eastAsia="Calibri" w:hAnsi="David" w:hint="cs"/>
          <w:noProof w:val="0"/>
          <w:rtl/>
        </w:rPr>
        <w:t xml:space="preserve"> 8.11.21 על כן מצויה המאשימה בתוך מסגרת הזמנים שהתווה סעיף 14 הנ"ל.</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rtl/>
        </w:rPr>
        <w:t>תיק החקירה צורף לטיעוניה הכתובים – והונח לעיוני.</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rtl/>
        </w:rPr>
        <w:t>הפנתה המאשימה, לעדותה של הגב' א</w:t>
      </w:r>
      <w:r w:rsidRPr="0031478D">
        <w:rPr>
          <w:rFonts w:ascii="David" w:eastAsia="Calibri" w:hAnsi="David" w:hint="cs"/>
          <w:noProof w:val="0"/>
          <w:rtl/>
        </w:rPr>
        <w:t>**** ב*****</w:t>
      </w:r>
      <w:r w:rsidRPr="002D24B0">
        <w:rPr>
          <w:rFonts w:ascii="David" w:eastAsia="Calibri" w:hAnsi="David" w:hint="cs"/>
          <w:noProof w:val="0"/>
          <w:rtl/>
        </w:rPr>
        <w:t>, שכנה אשר התקשרה למוקד 100 ומסרה כי "בסביבות השעה 01:00 שמעתי בום ודיבור של ילדים". בהתאמה, נפתח במוקד 100 אירוע לטיפול שוטר, בשעה 00:54 של יום ה-8.11.21.</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rtl/>
        </w:rPr>
        <w:t xml:space="preserve">כן הפנתה לעדותה של הגב' יובל צרפתי, עובדת חב' </w:t>
      </w:r>
      <w:r w:rsidRPr="002D24B0">
        <w:rPr>
          <w:rFonts w:ascii="David" w:eastAsia="Calibri" w:hAnsi="David"/>
          <w:noProof w:val="0"/>
        </w:rPr>
        <w:t>car to go</w:t>
      </w:r>
      <w:r w:rsidRPr="002D24B0">
        <w:rPr>
          <w:rFonts w:ascii="David" w:eastAsia="Calibri" w:hAnsi="David"/>
          <w:noProof w:val="0"/>
          <w:rtl/>
        </w:rPr>
        <w:t xml:space="preserve"> </w:t>
      </w:r>
      <w:r w:rsidRPr="002D24B0">
        <w:rPr>
          <w:rFonts w:ascii="David" w:eastAsia="Calibri" w:hAnsi="David" w:hint="cs"/>
          <w:noProof w:val="0"/>
          <w:rtl/>
        </w:rPr>
        <w:t>ולמזכר  שנערך בעקבות שיחה עמה המלמדים לשיטת המאשימה כי הרכב נגנב בין השעות 00:00-02:00.</w:t>
      </w:r>
    </w:p>
    <w:p w:rsidR="002D24B0" w:rsidRDefault="002D24B0" w:rsidP="0031478D">
      <w:pPr>
        <w:spacing w:after="160" w:line="360" w:lineRule="auto"/>
        <w:jc w:val="both"/>
        <w:rPr>
          <w:rFonts w:ascii="David" w:eastAsia="Calibri" w:hAnsi="David"/>
          <w:noProof w:val="0"/>
          <w:rtl/>
        </w:rPr>
      </w:pPr>
      <w:r w:rsidRPr="002D24B0">
        <w:rPr>
          <w:rFonts w:ascii="David" w:eastAsia="Calibri" w:hAnsi="David" w:hint="cs"/>
          <w:noProof w:val="0"/>
          <w:rtl/>
        </w:rPr>
        <w:lastRenderedPageBreak/>
        <w:t xml:space="preserve">עוד נטען כי מעדויותיהם של </w:t>
      </w:r>
      <w:r w:rsidRPr="0031478D">
        <w:rPr>
          <w:rFonts w:ascii="David" w:eastAsia="Calibri" w:hAnsi="David" w:hint="cs"/>
          <w:noProof w:val="0"/>
          <w:rtl/>
        </w:rPr>
        <w:t>***** ******</w:t>
      </w:r>
      <w:r w:rsidRPr="002D24B0">
        <w:rPr>
          <w:rFonts w:ascii="David" w:eastAsia="Calibri" w:hAnsi="David" w:hint="cs"/>
          <w:noProof w:val="0"/>
          <w:rtl/>
        </w:rPr>
        <w:t xml:space="preserve"> וחקירת הנאשם מסתמן ציר זמן התואם המפורט בכתב האישום לפיו העבירות בוצעו אל תוך יום ה-8.11.23.</w:t>
      </w:r>
    </w:p>
    <w:p w:rsidR="0031478D" w:rsidRPr="002D24B0" w:rsidRDefault="0031478D" w:rsidP="0031478D">
      <w:pPr>
        <w:spacing w:after="160" w:line="360" w:lineRule="auto"/>
        <w:jc w:val="both"/>
        <w:rPr>
          <w:rFonts w:ascii="David" w:eastAsia="Calibri" w:hAnsi="David"/>
          <w:noProof w:val="0"/>
          <w:rtl/>
        </w:rPr>
      </w:pP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b/>
          <w:bCs/>
          <w:noProof w:val="0"/>
          <w:u w:val="single"/>
          <w:rtl/>
        </w:rPr>
        <w:t>דיון</w:t>
      </w:r>
      <w:r w:rsidRPr="002D24B0">
        <w:rPr>
          <w:rFonts w:ascii="David" w:eastAsia="Calibri" w:hAnsi="David" w:hint="cs"/>
          <w:noProof w:val="0"/>
          <w:rtl/>
        </w:rPr>
        <w:t>:</w:t>
      </w:r>
    </w:p>
    <w:p w:rsidR="002D24B0" w:rsidRPr="002D24B0" w:rsidRDefault="002D24B0" w:rsidP="002D24B0">
      <w:pPr>
        <w:spacing w:after="160" w:line="360" w:lineRule="auto"/>
        <w:jc w:val="both"/>
        <w:rPr>
          <w:rFonts w:ascii="David" w:eastAsia="Calibri" w:hAnsi="David"/>
          <w:b/>
          <w:bCs/>
          <w:noProof w:val="0"/>
          <w:u w:val="single"/>
          <w:rtl/>
        </w:rPr>
      </w:pPr>
      <w:r w:rsidRPr="002D24B0">
        <w:rPr>
          <w:rFonts w:ascii="David" w:eastAsia="Calibri" w:hAnsi="David" w:hint="cs"/>
          <w:b/>
          <w:bCs/>
          <w:noProof w:val="0"/>
          <w:u w:val="single"/>
          <w:rtl/>
        </w:rPr>
        <w:t>המסגרת הנורמטיבית</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b/>
          <w:bCs/>
          <w:noProof w:val="0"/>
          <w:rtl/>
        </w:rPr>
        <w:t xml:space="preserve">סעיף 14 לחוק הנוער (שפיטה ענישה ודרכי טיפול ), התשל"א - 1971 </w:t>
      </w:r>
      <w:r w:rsidRPr="002D24B0">
        <w:rPr>
          <w:rFonts w:ascii="David" w:eastAsia="Calibri" w:hAnsi="David" w:hint="cs"/>
          <w:noProof w:val="0"/>
          <w:rtl/>
        </w:rPr>
        <w:t xml:space="preserve">קובע כי אין להעמיד אדם לדין בשל עבירה שביצע בהיותו קטין, אם עברה שנה מיום ביצועה אלא בהסכמת היועץ המשפטי לממשלה. </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rtl/>
        </w:rPr>
        <w:t xml:space="preserve">כמו כן מן הראוי להזכיר בענייננו את הוראת </w:t>
      </w:r>
      <w:r w:rsidRPr="002D24B0">
        <w:rPr>
          <w:rFonts w:ascii="David" w:eastAsia="Calibri" w:hAnsi="David" w:hint="cs"/>
          <w:b/>
          <w:bCs/>
          <w:noProof w:val="0"/>
          <w:rtl/>
        </w:rPr>
        <w:t>סעיף 57א(א) לחוק סדר הדין הפלילי (נוסח משולב) התשמ"ב-1982</w:t>
      </w:r>
      <w:r w:rsidRPr="002D24B0">
        <w:rPr>
          <w:rFonts w:ascii="David" w:eastAsia="Calibri" w:hAnsi="David" w:hint="cs"/>
          <w:noProof w:val="0"/>
          <w:rtl/>
        </w:rPr>
        <w:t xml:space="preserve"> אשר קובעת כי לא יוגש כתב אישום אם חלפו התקופות שנקבעו בנהלים ובהנחיות, אלא בהסכמת היועץ המשפטי לממשלה. </w:t>
      </w:r>
    </w:p>
    <w:p w:rsidR="002D24B0" w:rsidRPr="002D24B0" w:rsidRDefault="002D24B0" w:rsidP="00FA46A6">
      <w:pPr>
        <w:spacing w:after="160" w:line="360" w:lineRule="auto"/>
        <w:jc w:val="both"/>
        <w:rPr>
          <w:rFonts w:ascii="David" w:eastAsia="Calibri" w:hAnsi="David"/>
          <w:noProof w:val="0"/>
          <w:rtl/>
        </w:rPr>
      </w:pPr>
      <w:r w:rsidRPr="002D24B0">
        <w:rPr>
          <w:rFonts w:ascii="David" w:eastAsia="Calibri" w:hAnsi="David" w:hint="cs"/>
          <w:noProof w:val="0"/>
          <w:rtl/>
        </w:rPr>
        <w:t>העבירות המיוחסות לנאשם בוצעו לכאורה  ביום 8.11.21 אז היה קטין. הנאשם נחקר לראשונה ביום 10.11.21. לא הובא בפניי מתי עבר התיק למאשימה אך אין חולק כי פעולת החקירה האחרונה בוצעה ביום 12.1.22 ועד לסיום עבודת התביעה חלפו 10 חודשים נוספים.</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b/>
          <w:bCs/>
          <w:noProof w:val="0"/>
          <w:rtl/>
        </w:rPr>
        <w:t>סעיף 57א(א) לחוק סדר הדין הפלילי</w:t>
      </w:r>
      <w:r w:rsidRPr="002D24B0">
        <w:rPr>
          <w:rFonts w:ascii="David" w:eastAsia="Calibri" w:hAnsi="David" w:hint="cs"/>
          <w:noProof w:val="0"/>
          <w:rtl/>
        </w:rPr>
        <w:t xml:space="preserve"> הנ"ל קובע כדלקמן: </w:t>
      </w:r>
    </w:p>
    <w:p w:rsidR="002D24B0" w:rsidRPr="002D24B0" w:rsidRDefault="002D24B0" w:rsidP="002D24B0">
      <w:pPr>
        <w:spacing w:after="160" w:line="360" w:lineRule="auto"/>
        <w:ind w:left="1133" w:right="1418"/>
        <w:jc w:val="both"/>
        <w:rPr>
          <w:rFonts w:ascii="David" w:eastAsia="Calibri" w:hAnsi="David"/>
          <w:b/>
          <w:bCs/>
          <w:noProof w:val="0"/>
          <w:rtl/>
        </w:rPr>
      </w:pPr>
      <w:r w:rsidRPr="002D24B0">
        <w:rPr>
          <w:rFonts w:ascii="David" w:eastAsia="Calibri" w:hAnsi="David" w:hint="cs"/>
          <w:b/>
          <w:bCs/>
          <w:noProof w:val="0"/>
          <w:rtl/>
        </w:rPr>
        <w:t xml:space="preserve">" משך הליכי חקירה והעמדה לדין </w:t>
      </w:r>
    </w:p>
    <w:p w:rsidR="002D24B0" w:rsidRPr="002D24B0" w:rsidRDefault="002D24B0" w:rsidP="002D24B0">
      <w:pPr>
        <w:spacing w:after="160" w:line="360" w:lineRule="auto"/>
        <w:ind w:left="1133" w:right="1418"/>
        <w:jc w:val="both"/>
        <w:rPr>
          <w:rFonts w:ascii="David" w:eastAsia="Calibri" w:hAnsi="David"/>
          <w:b/>
          <w:bCs/>
          <w:noProof w:val="0"/>
          <w:rtl/>
        </w:rPr>
      </w:pPr>
      <w:r w:rsidRPr="002D24B0">
        <w:rPr>
          <w:rFonts w:ascii="David" w:eastAsia="Calibri" w:hAnsi="David" w:hint="cs"/>
          <w:b/>
          <w:bCs/>
          <w:noProof w:val="0"/>
          <w:rtl/>
        </w:rPr>
        <w:t>(א)</w:t>
      </w:r>
      <w:r w:rsidRPr="002D24B0">
        <w:rPr>
          <w:rFonts w:ascii="David" w:eastAsia="Calibri" w:hAnsi="David" w:hint="cs"/>
          <w:b/>
          <w:bCs/>
          <w:noProof w:val="0"/>
          <w:rtl/>
        </w:rPr>
        <w:tab/>
        <w:t>משך הליכי חקירה והעמדה לדין יהיה בהתאם לתקופות שיקבעו בנהלי רשויות החקירה באישור היועץ המשפטי לממשלה ובהנחיות היועץ המשפטי לממשלה, לפי הענין; לא יוגש כתב אישום אם חלפו התקופות בנהלים ובהנחיות כאמור אלא בהסכמת היועץ המשפטי לממשלה.</w:t>
      </w:r>
    </w:p>
    <w:p w:rsidR="002D24B0" w:rsidRPr="002D24B0" w:rsidRDefault="002D24B0" w:rsidP="002D24B0">
      <w:pPr>
        <w:spacing w:after="160" w:line="360" w:lineRule="auto"/>
        <w:ind w:left="1133" w:right="1418"/>
        <w:jc w:val="both"/>
        <w:rPr>
          <w:rFonts w:ascii="David" w:eastAsia="Calibri" w:hAnsi="David"/>
          <w:b/>
          <w:bCs/>
          <w:noProof w:val="0"/>
          <w:rtl/>
        </w:rPr>
      </w:pPr>
      <w:r w:rsidRPr="002D24B0">
        <w:rPr>
          <w:rFonts w:ascii="David" w:eastAsia="Calibri" w:hAnsi="David" w:hint="cs"/>
          <w:b/>
          <w:bCs/>
          <w:noProof w:val="0"/>
          <w:rtl/>
        </w:rPr>
        <w:t>(ב)</w:t>
      </w:r>
      <w:r w:rsidRPr="002D24B0">
        <w:rPr>
          <w:rFonts w:ascii="David" w:eastAsia="Calibri" w:hAnsi="David" w:hint="cs"/>
          <w:b/>
          <w:bCs/>
          <w:noProof w:val="0"/>
          <w:rtl/>
        </w:rPr>
        <w:tab/>
        <w:t>..."</w:t>
      </w:r>
    </w:p>
    <w:p w:rsidR="002D24B0" w:rsidRPr="002D24B0" w:rsidRDefault="00FA46A6" w:rsidP="002D24B0">
      <w:pPr>
        <w:spacing w:after="160" w:line="360" w:lineRule="auto"/>
        <w:jc w:val="both"/>
        <w:rPr>
          <w:rFonts w:ascii="David" w:eastAsia="Calibri" w:hAnsi="David"/>
          <w:noProof w:val="0"/>
          <w:rtl/>
        </w:rPr>
      </w:pPr>
      <w:r w:rsidRPr="0031478D">
        <w:rPr>
          <w:rFonts w:ascii="David" w:eastAsia="Calibri" w:hAnsi="David" w:hint="cs"/>
          <w:noProof w:val="0"/>
          <w:rtl/>
        </w:rPr>
        <w:t xml:space="preserve">על פי לשון זו, </w:t>
      </w:r>
      <w:r w:rsidR="002D24B0" w:rsidRPr="002D24B0">
        <w:rPr>
          <w:rFonts w:ascii="David" w:eastAsia="Calibri" w:hAnsi="David" w:hint="cs"/>
          <w:noProof w:val="0"/>
          <w:rtl/>
        </w:rPr>
        <w:t xml:space="preserve">הגבלת משכי חקירה והעמדה לדין מעוגנים למעשה על דרך הפניית החוק להנחיות פנימיות, לצד חובת אישור יועמ"ש לחריגה מאלה, וחובת דיווח לכנסת על העמידה בהן. </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rtl/>
        </w:rPr>
        <w:t>מכך נלמדת החשיבות  שהעניק המחוקק למאמץ שנדרשות לו הרשויות כדי להימנע משיהוי.</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rtl/>
        </w:rPr>
        <w:t>לא זו אף זו, בהינתן האמור, חריגה מן הקבוע בהנחיות לא תהא רק בסטייה מהן, אלא תעלה כדי הפרת לשון החוק, באופן שמקים טענה עצמאית לפגם או פסול בכתב האישום.</w:t>
      </w:r>
    </w:p>
    <w:p w:rsidR="002D24B0" w:rsidRPr="002D24B0" w:rsidRDefault="002D24B0" w:rsidP="002D24B0">
      <w:pPr>
        <w:spacing w:after="160" w:line="360" w:lineRule="auto"/>
        <w:jc w:val="both"/>
        <w:rPr>
          <w:rFonts w:ascii="David" w:eastAsia="Calibri" w:hAnsi="David"/>
          <w:noProof w:val="0"/>
          <w:rtl/>
        </w:rPr>
      </w:pPr>
    </w:p>
    <w:p w:rsidR="002D24B0" w:rsidRPr="002D24B0" w:rsidRDefault="002D24B0" w:rsidP="002D24B0">
      <w:pPr>
        <w:spacing w:after="160" w:line="360" w:lineRule="auto"/>
        <w:jc w:val="both"/>
        <w:rPr>
          <w:rFonts w:ascii="David" w:eastAsia="Calibri" w:hAnsi="David"/>
          <w:b/>
          <w:bCs/>
          <w:noProof w:val="0"/>
          <w:rtl/>
        </w:rPr>
      </w:pPr>
      <w:r w:rsidRPr="002D24B0">
        <w:rPr>
          <w:rFonts w:ascii="David" w:eastAsia="Calibri" w:hAnsi="David" w:hint="cs"/>
          <w:noProof w:val="0"/>
          <w:rtl/>
        </w:rPr>
        <w:t xml:space="preserve">נפרדות ההנחיות לשניים, לגופי החקירה ולרשויות התביעה; </w:t>
      </w:r>
      <w:r w:rsidRPr="002D24B0">
        <w:rPr>
          <w:rFonts w:ascii="David" w:eastAsia="Calibri" w:hAnsi="David" w:hint="cs"/>
          <w:b/>
          <w:bCs/>
          <w:noProof w:val="0"/>
          <w:rtl/>
        </w:rPr>
        <w:t xml:space="preserve">נוהל אגף חקירות ומודיעין במשטרת ישראל 300.300.166  שעניינו הגבלת משך החקירה נגד חשוד והנחיית היועץ המשפטי לממשלה 4.1202 שעניינה משך טיפול התביעה עד להגשת כתב אישום. </w:t>
      </w:r>
    </w:p>
    <w:p w:rsidR="002D24B0" w:rsidRPr="002D24B0" w:rsidRDefault="002D24B0" w:rsidP="0031478D">
      <w:pPr>
        <w:spacing w:after="160" w:line="360" w:lineRule="auto"/>
        <w:jc w:val="both"/>
        <w:rPr>
          <w:rFonts w:ascii="David" w:eastAsia="Calibri" w:hAnsi="David"/>
          <w:noProof w:val="0"/>
          <w:rtl/>
        </w:rPr>
      </w:pPr>
      <w:r w:rsidRPr="002D24B0">
        <w:rPr>
          <w:rFonts w:ascii="David" w:eastAsia="Calibri" w:hAnsi="David" w:hint="cs"/>
          <w:noProof w:val="0"/>
          <w:u w:val="single"/>
          <w:rtl/>
        </w:rPr>
        <w:t xml:space="preserve">נוהל אגף חקירות ומודיעין במשטרת ישראל 300.300.166 </w:t>
      </w:r>
      <w:r w:rsidRPr="002D24B0">
        <w:rPr>
          <w:rFonts w:ascii="David" w:eastAsia="Calibri" w:hAnsi="David" w:hint="cs"/>
          <w:noProof w:val="0"/>
          <w:rtl/>
        </w:rPr>
        <w:t xml:space="preserve"> שעניינו "הגבלת משך החקירה נגד חשוד " (להלן: "הנוהל") קובע מועדים לסיום חקירה פלילית, מרגע החשדת החשוד במשטרה כאשר הודגש כי בעניינו של קטין, יש לסיים את החקירה בהקדם האפשרי ותוך מאמץ מיוחד להימנע מ"להתקרב  לתום תקופת השנה"  ולא מעבר לשישה חודשים מיום חקירתו הראשונה באזהרה, עיכובו או מעצרו של הקטין, לפי המוקדם ביניהם. </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u w:val="single"/>
          <w:rtl/>
        </w:rPr>
        <w:t>הנחיית היועץ המשפטי לממשלה 1202.4</w:t>
      </w:r>
      <w:r w:rsidRPr="002D24B0">
        <w:rPr>
          <w:rFonts w:ascii="David" w:eastAsia="Calibri" w:hAnsi="David" w:hint="cs"/>
          <w:noProof w:val="0"/>
          <w:rtl/>
        </w:rPr>
        <w:t xml:space="preserve">  "משך טיפול התביעה עד להגשת כתב אישום" (להלן: "ההנחיה") מסדירה את משך הטיפול בתיק מקליטתו ביחידות ההעמדה לדין ועד להגשת כתב האישום. </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rtl/>
        </w:rPr>
        <w:t xml:space="preserve">ההנחיה עומדת על הטעמים לכך שנדרש טיפול מהיר עד ההחלטה בדבר הגשת כתב אישום ומקימה חובה לעשות כל מאמץ להשלים את טיפול התביעה בתיק בתוך פרק הזמן הקצר ביותר שניתן. </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rtl/>
        </w:rPr>
        <w:t>לצד אמירה ברורה זו ההנחיה קובעת זמני טיפול מקסימליים מרגע הגעת התיק לטיפול התביעה.</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rtl/>
        </w:rPr>
        <w:t xml:space="preserve">עוד נקבע "מנעד חשיבות" לסוגת מקרים, ולפיו, בין היתר, יש </w:t>
      </w:r>
      <w:r w:rsidRPr="002D24B0">
        <w:rPr>
          <w:rFonts w:ascii="David" w:eastAsia="Calibri" w:hAnsi="David" w:hint="cs"/>
          <w:noProof w:val="0"/>
          <w:u w:val="single"/>
          <w:rtl/>
        </w:rPr>
        <w:t>להימנע במיוחד משיהוי כאשר החשוד הוא קטין</w:t>
      </w:r>
      <w:r w:rsidRPr="002D24B0">
        <w:rPr>
          <w:rFonts w:ascii="David" w:eastAsia="Calibri" w:hAnsi="David" w:hint="cs"/>
          <w:noProof w:val="0"/>
          <w:rtl/>
        </w:rPr>
        <w:t xml:space="preserve">. </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rtl/>
        </w:rPr>
        <w:t>אכן, לא נקבע פרק זמן לעניינם של קטינים שהרי ההתיישנות הקבועה בחוק הנוער קצרה ממילא מקביעת ההנחיה</w:t>
      </w:r>
      <w:r w:rsidRPr="002D24B0">
        <w:rPr>
          <w:rFonts w:ascii="Calibri" w:eastAsia="Calibri" w:hAnsi="Calibri" w:cs="Arial"/>
          <w:noProof w:val="0"/>
          <w:rtl/>
        </w:rPr>
        <w:t xml:space="preserve"> </w:t>
      </w:r>
      <w:r w:rsidRPr="002D24B0">
        <w:rPr>
          <w:rFonts w:ascii="David" w:eastAsia="Calibri" w:hAnsi="David" w:hint="cs"/>
          <w:noProof w:val="0"/>
          <w:rtl/>
        </w:rPr>
        <w:t>(</w:t>
      </w:r>
      <w:r w:rsidR="00FA46A6" w:rsidRPr="0031478D">
        <w:rPr>
          <w:rFonts w:ascii="David" w:eastAsia="Calibri" w:hAnsi="David" w:hint="cs"/>
          <w:noProof w:val="0"/>
          <w:rtl/>
        </w:rPr>
        <w:t xml:space="preserve">לפיה </w:t>
      </w:r>
      <w:r w:rsidRPr="002D24B0">
        <w:rPr>
          <w:rFonts w:ascii="David" w:eastAsia="Calibri" w:hAnsi="David" w:hint="cs"/>
          <w:noProof w:val="0"/>
          <w:rtl/>
        </w:rPr>
        <w:t>בעבירות מסוג עוון ובעבירות מסוג פשע שדינן עד עשר שנות מאסר יש לפעול לסיום הטיפול בתיק בתוך 18 חודשים</w:t>
      </w:r>
      <w:r w:rsidRPr="002D24B0">
        <w:rPr>
          <w:rFonts w:ascii="Calibri" w:eastAsia="Calibri" w:hAnsi="Calibri" w:cs="Arial"/>
          <w:noProof w:val="0"/>
          <w:rtl/>
        </w:rPr>
        <w:t>)</w:t>
      </w:r>
      <w:r w:rsidRPr="002D24B0">
        <w:rPr>
          <w:rFonts w:ascii="David" w:eastAsia="Calibri" w:hAnsi="David" w:hint="cs"/>
          <w:noProof w:val="0"/>
          <w:rtl/>
        </w:rPr>
        <w:t xml:space="preserve">; אולם מוצבת חובה כפולה – לעשות </w:t>
      </w:r>
      <w:r w:rsidRPr="002D24B0">
        <w:rPr>
          <w:rFonts w:ascii="David" w:eastAsia="Calibri" w:hAnsi="David" w:hint="cs"/>
          <w:noProof w:val="0"/>
          <w:u w:val="single"/>
          <w:rtl/>
        </w:rPr>
        <w:t>כל מאמץ</w:t>
      </w:r>
      <w:r w:rsidRPr="002D24B0">
        <w:rPr>
          <w:rFonts w:ascii="David" w:eastAsia="Calibri" w:hAnsi="David" w:hint="cs"/>
          <w:noProof w:val="0"/>
          <w:rtl/>
        </w:rPr>
        <w:t xml:space="preserve"> לסיים הנדרש בפרק הזמן הקצר ביותר  </w:t>
      </w:r>
      <w:r w:rsidRPr="002D24B0">
        <w:rPr>
          <w:rFonts w:ascii="David" w:eastAsia="Calibri" w:hAnsi="David" w:hint="cs"/>
          <w:noProof w:val="0"/>
          <w:u w:val="single"/>
          <w:rtl/>
        </w:rPr>
        <w:t>ולהימנע באופן מיוחד משיהוי</w:t>
      </w:r>
      <w:r w:rsidRPr="002D24B0">
        <w:rPr>
          <w:rFonts w:ascii="David" w:eastAsia="Calibri" w:hAnsi="David" w:hint="cs"/>
          <w:noProof w:val="0"/>
          <w:rtl/>
        </w:rPr>
        <w:t xml:space="preserve"> .</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rtl/>
        </w:rPr>
        <w:t xml:space="preserve">העובדה כי מאז פעולת החקירה האחרונה בתיק ועד להגשת כתב האישום חלפו 10 חודשים, מעוררת אי נחת. </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rtl/>
        </w:rPr>
        <w:t>בהינתן תקופת התיישנות על פי חוק הנוער שנקבעה לשנה אחת מיום ביצוע העבירה, הרי שמן  ההנחיה, (שהפכה לחובה חוקית עם עיגונה בסעיף 57 הנ"ל) משתמע בהכרח כי פרק הזמן המצופה אינו  מכוון למילוי השנה הקצובה. כידוע אין המחוקק משחית מילותיו לריק, וברי כי כך גם היועמ"ש בהנחייתו, לכן לא יכול להיות שהכוונה הנה לראות בזמן ההתיישנות (שנה) כפרק הזמן הראוי בתיק חסר מורכבות כבענייננו, אותו הגדיר</w:t>
      </w:r>
      <w:r w:rsidR="0031478D">
        <w:rPr>
          <w:rFonts w:ascii="David" w:eastAsia="Calibri" w:hAnsi="David" w:hint="cs"/>
          <w:noProof w:val="0"/>
          <w:rtl/>
        </w:rPr>
        <w:t xml:space="preserve"> היועמ"ש</w:t>
      </w:r>
      <w:r w:rsidRPr="002D24B0">
        <w:rPr>
          <w:rFonts w:ascii="David" w:eastAsia="Calibri" w:hAnsi="David" w:hint="cs"/>
          <w:noProof w:val="0"/>
          <w:rtl/>
        </w:rPr>
        <w:t xml:space="preserve"> כפרק הזמן הקצר </w:t>
      </w:r>
      <w:r w:rsidRPr="002D24B0">
        <w:rPr>
          <w:rFonts w:ascii="David" w:eastAsia="Calibri" w:hAnsi="David" w:hint="cs"/>
          <w:b/>
          <w:bCs/>
          <w:noProof w:val="0"/>
          <w:rtl/>
        </w:rPr>
        <w:t xml:space="preserve">ביותר </w:t>
      </w:r>
      <w:r w:rsidRPr="002D24B0">
        <w:rPr>
          <w:rFonts w:ascii="David" w:eastAsia="Calibri" w:hAnsi="David" w:hint="cs"/>
          <w:noProof w:val="0"/>
          <w:rtl/>
        </w:rPr>
        <w:t xml:space="preserve">תוך הימנעות באופן </w:t>
      </w:r>
      <w:r w:rsidRPr="002D24B0">
        <w:rPr>
          <w:rFonts w:ascii="David" w:eastAsia="Calibri" w:hAnsi="David" w:hint="cs"/>
          <w:b/>
          <w:bCs/>
          <w:noProof w:val="0"/>
          <w:rtl/>
        </w:rPr>
        <w:t xml:space="preserve">מיוחד </w:t>
      </w:r>
      <w:r w:rsidRPr="002D24B0">
        <w:rPr>
          <w:rFonts w:ascii="David" w:eastAsia="Calibri" w:hAnsi="David" w:hint="cs"/>
          <w:noProof w:val="0"/>
          <w:rtl/>
        </w:rPr>
        <w:t>משיהוי .</w:t>
      </w:r>
    </w:p>
    <w:p w:rsidR="002D24B0" w:rsidRPr="002D24B0" w:rsidRDefault="002D24B0" w:rsidP="002D24B0">
      <w:pPr>
        <w:spacing w:after="160" w:line="360" w:lineRule="auto"/>
        <w:jc w:val="both"/>
        <w:rPr>
          <w:rFonts w:ascii="David" w:eastAsia="Calibri" w:hAnsi="David"/>
          <w:b/>
          <w:bCs/>
          <w:noProof w:val="0"/>
          <w:rtl/>
        </w:rPr>
      </w:pPr>
      <w:r w:rsidRPr="002D24B0">
        <w:rPr>
          <w:rFonts w:ascii="David" w:eastAsia="Calibri" w:hAnsi="David" w:hint="cs"/>
          <w:b/>
          <w:bCs/>
          <w:noProof w:val="0"/>
          <w:rtl/>
        </w:rPr>
        <w:lastRenderedPageBreak/>
        <w:t>בהינתן ציר הזמנים הרלוונטי, הרי שבהכרח, דרישות אלה לא מולאו במקרה דנא.</w:t>
      </w:r>
    </w:p>
    <w:p w:rsidR="002D24B0" w:rsidRPr="002D24B0" w:rsidRDefault="002D24B0" w:rsidP="00F70A49">
      <w:pPr>
        <w:spacing w:after="160" w:line="360" w:lineRule="auto"/>
        <w:jc w:val="both"/>
        <w:rPr>
          <w:rFonts w:ascii="David" w:eastAsia="Calibri" w:hAnsi="David"/>
          <w:b/>
          <w:bCs/>
          <w:noProof w:val="0"/>
          <w:rtl/>
        </w:rPr>
      </w:pPr>
      <w:r w:rsidRPr="002D24B0">
        <w:rPr>
          <w:rFonts w:ascii="David" w:eastAsia="Calibri" w:hAnsi="David" w:hint="cs"/>
          <w:b/>
          <w:bCs/>
          <w:noProof w:val="0"/>
          <w:rtl/>
        </w:rPr>
        <w:t>עוד קודם שאבחן משמעות פגם זה לענייננו, תיבחן טענת ההתיישנות בשים לב לראיות שה</w:t>
      </w:r>
      <w:r w:rsidR="00F70A49">
        <w:rPr>
          <w:rFonts w:ascii="David" w:eastAsia="Calibri" w:hAnsi="David" w:hint="cs"/>
          <w:b/>
          <w:bCs/>
          <w:noProof w:val="0"/>
          <w:rtl/>
        </w:rPr>
        <w:t xml:space="preserve">ובאו </w:t>
      </w:r>
      <w:r w:rsidRPr="002D24B0">
        <w:rPr>
          <w:rFonts w:ascii="David" w:eastAsia="Calibri" w:hAnsi="David" w:hint="cs"/>
          <w:b/>
          <w:bCs/>
          <w:noProof w:val="0"/>
          <w:rtl/>
        </w:rPr>
        <w:t>בפניי.</w:t>
      </w:r>
    </w:p>
    <w:p w:rsidR="002D24B0" w:rsidRPr="002D24B0" w:rsidRDefault="002D24B0" w:rsidP="00F70A49">
      <w:pPr>
        <w:spacing w:after="160" w:line="360" w:lineRule="auto"/>
        <w:jc w:val="both"/>
        <w:rPr>
          <w:rFonts w:ascii="David" w:eastAsia="Calibri" w:hAnsi="David"/>
          <w:noProof w:val="0"/>
          <w:rtl/>
        </w:rPr>
      </w:pPr>
      <w:r w:rsidRPr="002D24B0">
        <w:rPr>
          <w:rFonts w:ascii="David" w:eastAsia="Calibri" w:hAnsi="David" w:hint="cs"/>
          <w:noProof w:val="0"/>
          <w:rtl/>
        </w:rPr>
        <w:t xml:space="preserve">עיינתי בחומר הראיות שהונח לפניי ובין היתר גם </w:t>
      </w:r>
      <w:r w:rsidR="00F70A49">
        <w:rPr>
          <w:rFonts w:ascii="David" w:eastAsia="Calibri" w:hAnsi="David" w:hint="cs"/>
          <w:noProof w:val="0"/>
          <w:rtl/>
        </w:rPr>
        <w:t>ב</w:t>
      </w:r>
      <w:r w:rsidRPr="002D24B0">
        <w:rPr>
          <w:rFonts w:ascii="David" w:eastAsia="Calibri" w:hAnsi="David" w:hint="cs"/>
          <w:noProof w:val="0"/>
          <w:rtl/>
        </w:rPr>
        <w:t xml:space="preserve">הודעות אליהן הפנתה המאשימה בטיעוניה, ומצאתי כי לא ניתן למקם </w:t>
      </w:r>
      <w:r w:rsidR="00F70A49">
        <w:rPr>
          <w:rFonts w:ascii="David" w:eastAsia="Calibri" w:hAnsi="David" w:hint="cs"/>
          <w:noProof w:val="0"/>
          <w:rtl/>
        </w:rPr>
        <w:t xml:space="preserve"> -</w:t>
      </w:r>
      <w:r w:rsidRPr="002D24B0">
        <w:rPr>
          <w:rFonts w:ascii="David" w:eastAsia="Calibri" w:hAnsi="David" w:hint="cs"/>
          <w:noProof w:val="0"/>
          <w:rtl/>
        </w:rPr>
        <w:t xml:space="preserve"> במידה הנדרשת להליך פלילי</w:t>
      </w:r>
      <w:r w:rsidR="00F70A49">
        <w:rPr>
          <w:rFonts w:ascii="David" w:eastAsia="Calibri" w:hAnsi="David" w:hint="cs"/>
          <w:noProof w:val="0"/>
          <w:rtl/>
        </w:rPr>
        <w:t xml:space="preserve"> -</w:t>
      </w:r>
      <w:r w:rsidRPr="002D24B0">
        <w:rPr>
          <w:rFonts w:ascii="David" w:eastAsia="Calibri" w:hAnsi="David" w:hint="cs"/>
          <w:noProof w:val="0"/>
          <w:rtl/>
        </w:rPr>
        <w:t xml:space="preserve"> את ביצוע העבירות בתוך יום ה- 8.11.21.</w:t>
      </w:r>
    </w:p>
    <w:p w:rsidR="002D24B0" w:rsidRPr="002D24B0" w:rsidRDefault="002D24B0" w:rsidP="00F70A49">
      <w:pPr>
        <w:spacing w:after="160" w:line="360" w:lineRule="auto"/>
        <w:jc w:val="both"/>
        <w:rPr>
          <w:rFonts w:ascii="David" w:eastAsia="Calibri" w:hAnsi="David"/>
          <w:noProof w:val="0"/>
          <w:rtl/>
        </w:rPr>
      </w:pPr>
      <w:r w:rsidRPr="002D24B0">
        <w:rPr>
          <w:rFonts w:ascii="David" w:eastAsia="Calibri" w:hAnsi="David" w:hint="cs"/>
          <w:noProof w:val="0"/>
          <w:rtl/>
        </w:rPr>
        <w:t>עדותה של נציגת חב' הרכב, נמסרה אחרי עריכתו של המזכר (מיום 10.11.21) בו תועד זימונה לעדות ובו נכתב כי "מסרה לי שהרכב נגנב בתאריך 8.11.21 בשעה 00:19" וכי תגיע להגיש תלונה, באופן שמעמיד מזכר זה כחסר משמעות ועיגון</w:t>
      </w:r>
      <w:r w:rsidR="00F70A49">
        <w:rPr>
          <w:rFonts w:ascii="David" w:eastAsia="Calibri" w:hAnsi="David" w:hint="cs"/>
          <w:noProof w:val="0"/>
          <w:rtl/>
        </w:rPr>
        <w:t xml:space="preserve">; לא כל שכן עת </w:t>
      </w:r>
      <w:r w:rsidRPr="002D24B0">
        <w:rPr>
          <w:rFonts w:ascii="David" w:eastAsia="Calibri" w:hAnsi="David" w:hint="cs"/>
          <w:noProof w:val="0"/>
          <w:rtl/>
        </w:rPr>
        <w:t>בעדותה הסדורה מיום 11.5.22 מסרה כי לפי תחקור במערכת "רואים התחלה של התעסקות ברכב, פתיחת דלתות ונסיון הנעה החל משעה 21:54 בתאריך 7.11.21"</w:t>
      </w:r>
    </w:p>
    <w:p w:rsidR="002D24B0" w:rsidRPr="002D24B0" w:rsidRDefault="002D24B0" w:rsidP="00F70A49">
      <w:pPr>
        <w:spacing w:after="160" w:line="360" w:lineRule="auto"/>
        <w:jc w:val="both"/>
        <w:rPr>
          <w:rFonts w:ascii="David" w:eastAsia="Calibri" w:hAnsi="David"/>
          <w:noProof w:val="0"/>
          <w:rtl/>
        </w:rPr>
      </w:pPr>
      <w:r w:rsidRPr="002D24B0">
        <w:rPr>
          <w:rFonts w:ascii="David" w:eastAsia="Calibri" w:hAnsi="David" w:hint="cs"/>
          <w:noProof w:val="0"/>
          <w:rtl/>
        </w:rPr>
        <w:t>בהמשך ללא כל פירוט מה העלתה מערכת זו בנוסף</w:t>
      </w:r>
      <w:r w:rsidR="00F70A49">
        <w:rPr>
          <w:rFonts w:ascii="David" w:eastAsia="Calibri" w:hAnsi="David" w:hint="cs"/>
          <w:noProof w:val="0"/>
          <w:rtl/>
        </w:rPr>
        <w:t>,</w:t>
      </w:r>
      <w:r w:rsidRPr="002D24B0">
        <w:rPr>
          <w:rFonts w:ascii="David" w:eastAsia="Calibri" w:hAnsi="David" w:hint="cs"/>
          <w:noProof w:val="0"/>
          <w:rtl/>
        </w:rPr>
        <w:t xml:space="preserve"> </w:t>
      </w:r>
      <w:r w:rsidR="00F70A49">
        <w:rPr>
          <w:rFonts w:ascii="David" w:eastAsia="Calibri" w:hAnsi="David" w:hint="cs"/>
          <w:noProof w:val="0"/>
          <w:rtl/>
        </w:rPr>
        <w:t>מס</w:t>
      </w:r>
      <w:r w:rsidRPr="002D24B0">
        <w:rPr>
          <w:rFonts w:ascii="David" w:eastAsia="Calibri" w:hAnsi="David" w:hint="cs"/>
          <w:noProof w:val="0"/>
          <w:rtl/>
        </w:rPr>
        <w:t xml:space="preserve">רה כי בשעה 00:19 נסעו </w:t>
      </w:r>
      <w:r w:rsidR="00F70A49">
        <w:rPr>
          <w:rFonts w:ascii="David" w:eastAsia="Calibri" w:hAnsi="David" w:hint="cs"/>
          <w:noProof w:val="0"/>
          <w:rtl/>
        </w:rPr>
        <w:t>עם הרכב</w:t>
      </w:r>
      <w:r w:rsidRPr="002D24B0">
        <w:rPr>
          <w:rFonts w:ascii="David" w:eastAsia="Calibri" w:hAnsi="David" w:hint="cs"/>
          <w:noProof w:val="0"/>
          <w:rtl/>
        </w:rPr>
        <w:t xml:space="preserve"> עד שעה 00:49 אז זוהתה התנגשות.</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rtl/>
        </w:rPr>
        <w:t>התווך בין הזמנים לא פורט ולמיצער לא ידוע.</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rtl/>
        </w:rPr>
        <w:t>על כן הודיעה המאשימה כי את תחילת האירוע – היינו הפריצה לרכב שלמעשה מצוי בתוך תקופה שהתיישנה, תסכים למחוק מכתב האישום. בעמדתה זו למעשה מבקשת המאשימה לנתק את ההתפרצות לרכב מגניבתו והשימוש בו שנעשו בהמשך.</w:t>
      </w:r>
    </w:p>
    <w:p w:rsidR="002D24B0" w:rsidRPr="002D24B0" w:rsidRDefault="002D24B0" w:rsidP="00F70A49">
      <w:pPr>
        <w:spacing w:after="160" w:line="360" w:lineRule="auto"/>
        <w:jc w:val="both"/>
        <w:rPr>
          <w:rFonts w:ascii="David" w:eastAsia="Calibri" w:hAnsi="David"/>
          <w:noProof w:val="0"/>
          <w:rtl/>
        </w:rPr>
      </w:pPr>
      <w:r w:rsidRPr="002D24B0">
        <w:rPr>
          <w:rFonts w:ascii="David" w:eastAsia="Calibri" w:hAnsi="David" w:hint="cs"/>
          <w:noProof w:val="0"/>
          <w:rtl/>
        </w:rPr>
        <w:t xml:space="preserve">על מנת לבחון האם ניתן להשאיר יתר המיוחס כתלוי במנותק מסעיף לגביו מסכימה שהתיישן; עיינתי גם ביתר הראיות </w:t>
      </w:r>
      <w:r w:rsidRPr="002D24B0">
        <w:rPr>
          <w:rFonts w:ascii="David" w:eastAsia="Calibri" w:hAnsi="David"/>
          <w:noProof w:val="0"/>
        </w:rPr>
        <w:t xml:space="preserve"> - </w:t>
      </w:r>
      <w:r w:rsidRPr="002D24B0">
        <w:rPr>
          <w:rFonts w:ascii="David" w:eastAsia="Calibri" w:hAnsi="David" w:hint="cs"/>
          <w:noProof w:val="0"/>
          <w:rtl/>
        </w:rPr>
        <w:t xml:space="preserve">עדות הנאשם, אשר טען כי היה בבית ידידה עד אחר חצות לערך, עדותו של </w:t>
      </w:r>
      <w:r w:rsidR="00F70A49">
        <w:rPr>
          <w:rFonts w:ascii="David" w:eastAsia="Calibri" w:hAnsi="David" w:hint="cs"/>
          <w:noProof w:val="0"/>
          <w:rtl/>
        </w:rPr>
        <w:t>****</w:t>
      </w:r>
      <w:r w:rsidRPr="002D24B0">
        <w:rPr>
          <w:rFonts w:ascii="David" w:eastAsia="Calibri" w:hAnsi="David" w:hint="cs"/>
          <w:noProof w:val="0"/>
          <w:rtl/>
        </w:rPr>
        <w:t xml:space="preserve"> </w:t>
      </w:r>
      <w:r w:rsidR="00F70A49">
        <w:rPr>
          <w:rFonts w:ascii="David" w:eastAsia="Calibri" w:hAnsi="David" w:hint="cs"/>
          <w:noProof w:val="0"/>
          <w:rtl/>
        </w:rPr>
        <w:t>*****</w:t>
      </w:r>
      <w:r w:rsidRPr="002D24B0">
        <w:rPr>
          <w:rFonts w:ascii="David" w:eastAsia="Calibri" w:hAnsi="David" w:hint="cs"/>
          <w:noProof w:val="0"/>
          <w:rtl/>
        </w:rPr>
        <w:t xml:space="preserve"> אשר מסר גרסה דומה גם לגבי עצמו וכן עדות השכנה אשר דיווחה למוקד 100.</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rtl/>
        </w:rPr>
        <w:t>ראשית, לא מצאתי כי ניתן לקבוע ממצאי עובדה, באשר לשעות המצוינות אשר נמסרו כאומדן והערכה סתמית ומבלי שנקודה זו חודדה עד תום בכל אחת מן החקירות.</w:t>
      </w:r>
    </w:p>
    <w:p w:rsidR="002D24B0" w:rsidRPr="002D24B0" w:rsidRDefault="002D24B0" w:rsidP="009A077E">
      <w:pPr>
        <w:spacing w:after="160" w:line="360" w:lineRule="auto"/>
        <w:jc w:val="both"/>
        <w:rPr>
          <w:rFonts w:ascii="David" w:eastAsia="Calibri" w:hAnsi="David"/>
          <w:noProof w:val="0"/>
          <w:rtl/>
        </w:rPr>
      </w:pPr>
      <w:r w:rsidRPr="002D24B0">
        <w:rPr>
          <w:rFonts w:ascii="David" w:eastAsia="Calibri" w:hAnsi="David" w:hint="cs"/>
          <w:noProof w:val="0"/>
          <w:rtl/>
        </w:rPr>
        <w:t>שנית, עדותה של השכנה, מתייחסת ב</w:t>
      </w:r>
      <w:r w:rsidR="00F70A49">
        <w:rPr>
          <w:rFonts w:ascii="David" w:eastAsia="Calibri" w:hAnsi="David" w:hint="cs"/>
          <w:noProof w:val="0"/>
          <w:rtl/>
        </w:rPr>
        <w:t>בירור לשלב מתקדם של האירועים</w:t>
      </w:r>
      <w:r w:rsidR="009A077E">
        <w:rPr>
          <w:rFonts w:ascii="David" w:eastAsia="Calibri" w:hAnsi="David" w:hint="cs"/>
          <w:noProof w:val="0"/>
          <w:rtl/>
        </w:rPr>
        <w:t xml:space="preserve"> - </w:t>
      </w:r>
      <w:r w:rsidRPr="002D24B0">
        <w:rPr>
          <w:rFonts w:ascii="David" w:eastAsia="Calibri" w:hAnsi="David" w:hint="cs"/>
          <w:noProof w:val="0"/>
          <w:rtl/>
        </w:rPr>
        <w:t>כשה</w:t>
      </w:r>
      <w:r w:rsidR="009A077E">
        <w:rPr>
          <w:rFonts w:ascii="David" w:eastAsia="Calibri" w:hAnsi="David" w:hint="cs"/>
          <w:noProof w:val="0"/>
          <w:rtl/>
        </w:rPr>
        <w:t xml:space="preserve">תרחשה כבר ההתנגשות; </w:t>
      </w:r>
      <w:r w:rsidRPr="002D24B0">
        <w:rPr>
          <w:rFonts w:ascii="David" w:eastAsia="Calibri" w:hAnsi="David" w:hint="cs"/>
          <w:noProof w:val="0"/>
          <w:rtl/>
        </w:rPr>
        <w:t>שמעה את ה"בום" ועל כן אינה יכולה ללמד על ההתרחשויות שקדמו, אימתי ומי המעורב בהן.</w:t>
      </w:r>
    </w:p>
    <w:p w:rsidR="002D24B0" w:rsidRPr="002D24B0" w:rsidRDefault="002D24B0" w:rsidP="002D24B0">
      <w:pPr>
        <w:spacing w:after="160" w:line="360" w:lineRule="auto"/>
        <w:jc w:val="both"/>
        <w:rPr>
          <w:rFonts w:ascii="David" w:eastAsia="Calibri" w:hAnsi="David"/>
          <w:noProof w:val="0"/>
          <w:rtl/>
        </w:rPr>
      </w:pPr>
      <w:r w:rsidRPr="002D24B0">
        <w:rPr>
          <w:rFonts w:ascii="David" w:eastAsia="Calibri" w:hAnsi="David" w:hint="cs"/>
          <w:noProof w:val="0"/>
          <w:rtl/>
        </w:rPr>
        <w:t>עוד עלה מעיון בחומר הראיות כולו, כי אופן איסופו אינו מאפשר לאבחן מתוך שרשרת האירועים את אלה שהתרחשו קודם לתקופה שהתיישנה מהעבירות שבוצעו לכאורה אחריה – ודאי לא משבחרה המאשימה ליחס לנאשם רצף מעשים אחד.</w:t>
      </w:r>
    </w:p>
    <w:p w:rsidR="002D24B0" w:rsidRPr="002D24B0" w:rsidRDefault="002D24B0" w:rsidP="002D24B0">
      <w:pPr>
        <w:spacing w:after="160" w:line="360" w:lineRule="auto"/>
        <w:jc w:val="both"/>
        <w:rPr>
          <w:rFonts w:ascii="David" w:eastAsia="Calibri" w:hAnsi="David"/>
          <w:b/>
          <w:bCs/>
          <w:noProof w:val="0"/>
          <w:sz w:val="22"/>
          <w:szCs w:val="22"/>
          <w:rtl/>
        </w:rPr>
      </w:pPr>
      <w:r w:rsidRPr="002D24B0">
        <w:rPr>
          <w:rFonts w:ascii="David" w:eastAsia="Calibri" w:hAnsi="David" w:hint="cs"/>
          <w:b/>
          <w:bCs/>
          <w:noProof w:val="0"/>
          <w:rtl/>
        </w:rPr>
        <w:lastRenderedPageBreak/>
        <w:t>כאשר תחת ראיה זו, נבחנת  אף משמעות הפגם תוצר השיהוי לענייננו – אני מורה כי בהעדר אישור יועמ"ש, יבוטל כתב האישום כולו</w:t>
      </w:r>
      <w:r w:rsidRPr="002D24B0">
        <w:rPr>
          <w:rFonts w:ascii="David" w:eastAsia="Calibri" w:hAnsi="David" w:hint="cs"/>
          <w:b/>
          <w:bCs/>
          <w:noProof w:val="0"/>
          <w:sz w:val="22"/>
          <w:szCs w:val="22"/>
          <w:rtl/>
        </w:rPr>
        <w:t>.</w:t>
      </w:r>
    </w:p>
    <w:p w:rsidR="002D24B0" w:rsidRPr="002D24B0" w:rsidRDefault="002D24B0" w:rsidP="002D24B0">
      <w:pPr>
        <w:spacing w:line="360" w:lineRule="auto"/>
        <w:jc w:val="both"/>
        <w:rPr>
          <w:rFonts w:ascii="David" w:eastAsia="David" w:hAnsi="David"/>
          <w:noProof w:val="0"/>
          <w:rtl/>
        </w:rPr>
      </w:pPr>
    </w:p>
    <w:p w:rsidR="002D24B0" w:rsidRPr="002D24B0" w:rsidRDefault="002D24B0" w:rsidP="002D24B0">
      <w:pPr>
        <w:spacing w:line="360" w:lineRule="auto"/>
        <w:jc w:val="both"/>
        <w:rPr>
          <w:rFonts w:ascii="David" w:eastAsia="David" w:hAnsi="David"/>
          <w:noProof w:val="0"/>
          <w:sz w:val="6"/>
          <w:szCs w:val="6"/>
          <w:rtl/>
        </w:rPr>
      </w:pPr>
      <w:r w:rsidRPr="002D24B0">
        <w:rPr>
          <w:rFonts w:ascii="David" w:eastAsia="David" w:hAnsi="David" w:hint="cs"/>
          <w:noProof w:val="0"/>
          <w:sz w:val="6"/>
          <w:szCs w:val="6"/>
          <w:rtl/>
        </w:rPr>
        <w:t>&lt;#4#&gt;</w:t>
      </w:r>
    </w:p>
    <w:p w:rsidR="002D24B0" w:rsidRPr="002D24B0" w:rsidRDefault="002D24B0" w:rsidP="002D24B0">
      <w:pPr>
        <w:rPr>
          <w:rFonts w:ascii="David" w:eastAsia="David" w:hAnsi="David"/>
          <w:noProof w:val="0"/>
        </w:rPr>
      </w:pPr>
    </w:p>
    <w:p w:rsidR="002D24B0" w:rsidRPr="002D24B0" w:rsidRDefault="002D24B0" w:rsidP="009A077E">
      <w:pPr>
        <w:spacing w:line="360" w:lineRule="auto"/>
        <w:jc w:val="right"/>
        <w:rPr>
          <w:rFonts w:ascii="David" w:eastAsia="David" w:hAnsi="David"/>
          <w:noProof w:val="0"/>
          <w:rtl/>
        </w:rPr>
      </w:pPr>
      <w:r w:rsidRPr="002D24B0">
        <w:rPr>
          <w:rFonts w:ascii="David" w:eastAsia="David" w:hAnsi="David" w:hint="cs"/>
          <w:b/>
          <w:bCs/>
          <w:noProof w:val="0"/>
          <w:rtl/>
        </w:rPr>
        <w:t xml:space="preserve">ניתנה והודעה היום </w:t>
      </w:r>
      <w:sdt>
        <w:sdtPr>
          <w:rPr>
            <w:rFonts w:ascii="David" w:eastAsia="David" w:hAnsi="David" w:hint="cs"/>
            <w:noProof w:val="0"/>
            <w:rtl/>
          </w:rPr>
          <w:alias w:val="2207"/>
          <w:tag w:val="2207"/>
          <w:id w:val="1329636924"/>
          <w:text w:multiLine="1"/>
        </w:sdtPr>
        <w:sdtEndPr/>
        <w:sdtContent>
          <w:r w:rsidRPr="002D24B0">
            <w:rPr>
              <w:rFonts w:ascii="David" w:eastAsia="David" w:hAnsi="David" w:hint="cs"/>
              <w:noProof w:val="0"/>
              <w:rtl/>
            </w:rPr>
            <w:t>ח' אדר תשפ"ג</w:t>
          </w:r>
        </w:sdtContent>
      </w:sdt>
      <w:r w:rsidRPr="002D24B0">
        <w:rPr>
          <w:rFonts w:ascii="David" w:eastAsia="David" w:hAnsi="David" w:hint="cs"/>
          <w:b/>
          <w:bCs/>
          <w:noProof w:val="0"/>
          <w:rtl/>
        </w:rPr>
        <w:t xml:space="preserve">, </w:t>
      </w:r>
      <w:sdt>
        <w:sdtPr>
          <w:rPr>
            <w:rFonts w:ascii="David" w:eastAsia="David" w:hAnsi="David" w:hint="cs"/>
            <w:noProof w:val="0"/>
            <w:rtl/>
          </w:rPr>
          <w:alias w:val="2206"/>
          <w:tag w:val="2206"/>
          <w:id w:val="-1474593809"/>
          <w:text w:multiLine="1"/>
        </w:sdtPr>
        <w:sdtEndPr/>
        <w:sdtContent>
          <w:r w:rsidRPr="002D24B0">
            <w:rPr>
              <w:rFonts w:ascii="David" w:eastAsia="David" w:hAnsi="David" w:hint="cs"/>
              <w:noProof w:val="0"/>
            </w:rPr>
            <w:t>01/03/2023</w:t>
          </w:r>
        </w:sdtContent>
      </w:sdt>
      <w:r w:rsidRPr="002D24B0">
        <w:rPr>
          <w:rFonts w:ascii="David" w:eastAsia="David" w:hAnsi="David" w:hint="cs"/>
          <w:b/>
          <w:bCs/>
          <w:noProof w:val="0"/>
          <w:rtl/>
        </w:rPr>
        <w:t xml:space="preserve"> במעמד הנוכחים.</w:t>
      </w:r>
    </w:p>
    <w:tbl>
      <w:tblPr>
        <w:tblStyle w:val="10"/>
        <w:tblpPr w:leftFromText="180" w:rightFromText="180" w:vertAnchor="text" w:horzAnchor="page" w:tblpX="2928" w:tblpY="193"/>
        <w:bidiVisual/>
        <w:tblW w:w="0" w:type="auto"/>
        <w:tblInd w:w="0"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9A077E" w:rsidRPr="002D24B0" w:rsidTr="009A077E">
        <w:trPr>
          <w:trHeight w:val="316"/>
        </w:trPr>
        <w:tc>
          <w:tcPr>
            <w:tcW w:w="3936" w:type="dxa"/>
            <w:tcBorders>
              <w:top w:val="nil"/>
              <w:left w:val="nil"/>
              <w:bottom w:val="single" w:sz="4" w:space="0" w:color="auto"/>
              <w:right w:val="nil"/>
            </w:tcBorders>
            <w:vAlign w:val="center"/>
          </w:tcPr>
          <w:p w:rsidR="009A077E" w:rsidRPr="002D24B0" w:rsidRDefault="00A46399" w:rsidP="009A077E">
            <w:pPr>
              <w:ind w:left="994"/>
              <w:jc w:val="left"/>
              <w:rPr>
                <w:rFonts w:ascii="David" w:eastAsia="David" w:hAnsi="David"/>
                <w:noProof w:val="0"/>
                <w:rtl/>
              </w:rPr>
            </w:pPr>
            <w:sdt>
              <w:sdtPr>
                <w:rPr>
                  <w:rFonts w:cs="Times New Roman"/>
                  <w:noProof w:val="0"/>
                  <w:rtl/>
                </w:rPr>
                <w:alias w:val="MergeField"/>
                <w:tag w:val="2144"/>
                <w:id w:val="258349633"/>
              </w:sdtPr>
              <w:sdtEndPr/>
              <w:sdtContent>
                <w:r w:rsidR="009A077E" w:rsidRPr="002D24B0">
                  <w:rPr>
                    <w:rFonts w:ascii="David" w:eastAsia="David" w:hAnsi="David"/>
                  </w:rPr>
                  <w:drawing>
                    <wp:inline distT="0" distB="0" distL="0" distR="0" wp14:anchorId="0CCE473E" wp14:editId="608FC60A">
                      <wp:extent cx="1219200" cy="393065"/>
                      <wp:effectExtent l="0" t="0" r="0" b="698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1751" cy="416455"/>
                              </a:xfrm>
                              <a:prstGeom prst="rect">
                                <a:avLst/>
                              </a:prstGeom>
                              <a:noFill/>
                              <a:ln>
                                <a:noFill/>
                              </a:ln>
                            </pic:spPr>
                          </pic:pic>
                        </a:graphicData>
                      </a:graphic>
                    </wp:inline>
                  </w:drawing>
                </w:r>
              </w:sdtContent>
            </w:sdt>
          </w:p>
          <w:p w:rsidR="009A077E" w:rsidRPr="002D24B0" w:rsidRDefault="009A077E" w:rsidP="009A077E">
            <w:pPr>
              <w:rPr>
                <w:rFonts w:ascii="David" w:eastAsia="David" w:hAnsi="David"/>
                <w:noProof w:val="0"/>
              </w:rPr>
            </w:pPr>
          </w:p>
        </w:tc>
      </w:tr>
      <w:tr w:rsidR="009A077E" w:rsidRPr="002D24B0" w:rsidTr="009A077E">
        <w:trPr>
          <w:trHeight w:val="361"/>
        </w:trPr>
        <w:tc>
          <w:tcPr>
            <w:tcW w:w="3936" w:type="dxa"/>
            <w:tcBorders>
              <w:top w:val="single" w:sz="4" w:space="0" w:color="auto"/>
              <w:left w:val="nil"/>
              <w:bottom w:val="nil"/>
              <w:right w:val="nil"/>
            </w:tcBorders>
            <w:vAlign w:val="center"/>
            <w:hideMark/>
          </w:tcPr>
          <w:p w:rsidR="009A077E" w:rsidRPr="002D24B0" w:rsidRDefault="00A46399" w:rsidP="009A077E">
            <w:pPr>
              <w:rPr>
                <w:rFonts w:ascii="David" w:eastAsia="David" w:hAnsi="David"/>
                <w:b/>
                <w:bCs/>
                <w:noProof w:val="0"/>
                <w:rtl/>
              </w:rPr>
            </w:pPr>
            <w:sdt>
              <w:sdtPr>
                <w:rPr>
                  <w:rFonts w:ascii="David" w:eastAsia="David" w:hAnsi="David"/>
                  <w:b/>
                  <w:bCs/>
                  <w:noProof w:val="0"/>
                  <w:rtl/>
                </w:rPr>
                <w:alias w:val="2141"/>
                <w:tag w:val="2141"/>
                <w:id w:val="2119712613"/>
                <w:placeholder>
                  <w:docPart w:val="6EF1B663EBD24363AB19F352F4AAC8F8"/>
                </w:placeholder>
                <w:text w:multiLine="1"/>
              </w:sdtPr>
              <w:sdtEndPr/>
              <w:sdtContent>
                <w:r w:rsidR="009A077E" w:rsidRPr="002D24B0">
                  <w:rPr>
                    <w:rFonts w:ascii="David" w:eastAsia="David" w:hAnsi="David"/>
                    <w:b/>
                    <w:bCs/>
                    <w:noProof w:val="0"/>
                    <w:rtl/>
                  </w:rPr>
                  <w:t>ליזי</w:t>
                </w:r>
              </w:sdtContent>
            </w:sdt>
            <w:r w:rsidR="009A077E" w:rsidRPr="002D24B0">
              <w:rPr>
                <w:rFonts w:ascii="David" w:hAnsi="David"/>
                <w:b/>
                <w:bCs/>
                <w:noProof w:val="0"/>
                <w:rtl/>
              </w:rPr>
              <w:t xml:space="preserve"> </w:t>
            </w:r>
            <w:sdt>
              <w:sdtPr>
                <w:rPr>
                  <w:rFonts w:ascii="David" w:hAnsi="David"/>
                  <w:b/>
                  <w:bCs/>
                  <w:noProof w:val="0"/>
                  <w:rtl/>
                </w:rPr>
                <w:alias w:val="2142"/>
                <w:tag w:val="2142"/>
                <w:id w:val="-26639521"/>
                <w:placeholder>
                  <w:docPart w:val="8666B21BC97040E69CFA7AEA17FE689D"/>
                </w:placeholder>
                <w:text w:multiLine="1"/>
              </w:sdtPr>
              <w:sdtEndPr/>
              <w:sdtContent>
                <w:r w:rsidR="009A077E" w:rsidRPr="002D24B0">
                  <w:rPr>
                    <w:rFonts w:ascii="David" w:hAnsi="David"/>
                    <w:b/>
                    <w:bCs/>
                    <w:noProof w:val="0"/>
                    <w:rtl/>
                  </w:rPr>
                  <w:t>פרוינד</w:t>
                </w:r>
              </w:sdtContent>
            </w:sdt>
            <w:r w:rsidR="009A077E" w:rsidRPr="002D24B0">
              <w:rPr>
                <w:rFonts w:ascii="David" w:hAnsi="David"/>
                <w:b/>
                <w:bCs/>
                <w:noProof w:val="0"/>
                <w:rtl/>
              </w:rPr>
              <w:t xml:space="preserve">, </w:t>
            </w:r>
            <w:sdt>
              <w:sdtPr>
                <w:rPr>
                  <w:rFonts w:ascii="David" w:hAnsi="David"/>
                  <w:b/>
                  <w:bCs/>
                  <w:noProof w:val="0"/>
                  <w:rtl/>
                </w:rPr>
                <w:alias w:val="2143"/>
                <w:tag w:val="2143"/>
                <w:id w:val="1647695366"/>
                <w:placeholder>
                  <w:docPart w:val="24D7C301080D4B1998B59F6237882F8A"/>
                </w:placeholder>
                <w:text w:multiLine="1"/>
              </w:sdtPr>
              <w:sdtEndPr/>
              <w:sdtContent>
                <w:r w:rsidR="009A077E" w:rsidRPr="002D24B0">
                  <w:rPr>
                    <w:rFonts w:ascii="David" w:hAnsi="David"/>
                    <w:b/>
                    <w:bCs/>
                    <w:noProof w:val="0"/>
                    <w:rtl/>
                  </w:rPr>
                  <w:t>שופטת, סגנית הנשיאה</w:t>
                </w:r>
              </w:sdtContent>
            </w:sdt>
          </w:p>
        </w:tc>
      </w:tr>
    </w:tbl>
    <w:p w:rsidR="002D24B0" w:rsidRPr="002D24B0" w:rsidRDefault="002D24B0" w:rsidP="009A077E">
      <w:pPr>
        <w:jc w:val="right"/>
        <w:rPr>
          <w:rFonts w:ascii="David" w:eastAsia="David" w:hAnsi="David"/>
          <w:noProof w:val="0"/>
          <w:rtl/>
        </w:rPr>
      </w:pPr>
    </w:p>
    <w:p w:rsidR="002D24B0" w:rsidRPr="002D24B0" w:rsidRDefault="002D24B0" w:rsidP="009A077E">
      <w:pPr>
        <w:jc w:val="right"/>
        <w:rPr>
          <w:rFonts w:ascii="David" w:eastAsia="David" w:hAnsi="David"/>
          <w:noProof w:val="0"/>
          <w:rtl/>
        </w:rPr>
      </w:pPr>
    </w:p>
    <w:p w:rsidR="002D24B0" w:rsidRPr="002D24B0" w:rsidRDefault="002D24B0" w:rsidP="002D24B0">
      <w:pPr>
        <w:rPr>
          <w:rFonts w:ascii="David" w:eastAsia="David" w:hAnsi="David"/>
          <w:noProof w:val="0"/>
          <w:rtl/>
        </w:rPr>
      </w:pPr>
    </w:p>
    <w:p w:rsidR="002D24B0" w:rsidRPr="002D24B0" w:rsidRDefault="002D24B0" w:rsidP="002D24B0">
      <w:pPr>
        <w:spacing w:line="360" w:lineRule="auto"/>
        <w:jc w:val="center"/>
        <w:rPr>
          <w:rFonts w:ascii="David" w:eastAsia="David" w:hAnsi="David"/>
          <w:noProof w:val="0"/>
          <w:rtl/>
        </w:rPr>
      </w:pPr>
    </w:p>
    <w:p w:rsidR="002D24B0" w:rsidRPr="002D24B0" w:rsidRDefault="002D24B0" w:rsidP="002D24B0">
      <w:pPr>
        <w:spacing w:line="360" w:lineRule="auto"/>
        <w:jc w:val="both"/>
        <w:rPr>
          <w:rFonts w:ascii="David" w:eastAsia="David" w:hAnsi="David"/>
          <w:noProof w:val="0"/>
          <w:rtl/>
        </w:rPr>
      </w:pPr>
      <w:r w:rsidRPr="002D24B0">
        <w:rPr>
          <w:rFonts w:ascii="David" w:eastAsia="David" w:hAnsi="David" w:hint="cs"/>
          <w:noProof w:val="0"/>
          <w:rtl/>
        </w:rPr>
        <w:t xml:space="preserve"> </w:t>
      </w:r>
    </w:p>
    <w:p w:rsidR="002D24B0" w:rsidRPr="002D24B0" w:rsidRDefault="002D24B0" w:rsidP="002D24B0">
      <w:pPr>
        <w:spacing w:line="360" w:lineRule="auto"/>
        <w:jc w:val="both"/>
        <w:rPr>
          <w:rFonts w:ascii="David" w:eastAsia="David" w:hAnsi="David"/>
          <w:noProof w:val="0"/>
        </w:rPr>
      </w:pPr>
      <w:r w:rsidRPr="002D24B0">
        <w:rPr>
          <w:rFonts w:ascii="David" w:eastAsia="David" w:hAnsi="David"/>
          <w:noProof w:val="0"/>
          <w:rtl/>
        </w:rPr>
        <w:t xml:space="preserve"> </w:t>
      </w:r>
    </w:p>
    <w:p w:rsidR="00694556" w:rsidRPr="00DE1E7D" w:rsidRDefault="00694556">
      <w:pPr>
        <w:spacing w:line="360" w:lineRule="auto"/>
        <w:jc w:val="both"/>
        <w:rPr>
          <w:rFonts w:ascii="Arial" w:hAnsi="Arial"/>
          <w:noProof w:val="0"/>
          <w:rtl/>
        </w:rPr>
      </w:pPr>
    </w:p>
    <w:p w:rsidR="00694556" w:rsidRDefault="009A077E" w:rsidP="009A077E">
      <w:pPr>
        <w:spacing w:line="360" w:lineRule="auto"/>
        <w:jc w:val="both"/>
        <w:rPr>
          <w:rFonts w:ascii="Arial" w:hAnsi="Arial"/>
          <w:noProof w:val="0"/>
          <w:rtl/>
        </w:rPr>
      </w:pPr>
      <w:r>
        <w:rPr>
          <w:rFonts w:ascii="Arial" w:hAnsi="Arial" w:hint="cs"/>
          <w:noProof w:val="0"/>
        </w:rPr>
        <w:t xml:space="preserve"> </w:t>
      </w:r>
      <w:r>
        <w:rPr>
          <w:rFonts w:ascii="Arial" w:hAnsi="Arial" w:hint="cs"/>
          <w:noProof w:val="0"/>
          <w:rtl/>
        </w:rPr>
        <w:t xml:space="preserve">נוסח מותר בפרסום לבקשת הסנגוריה הציבורית, ניתן </w:t>
      </w:r>
      <w:r w:rsidR="00005C8B">
        <w:rPr>
          <w:rFonts w:ascii="Arial" w:hAnsi="Arial"/>
          <w:noProof w:val="0"/>
          <w:rtl/>
        </w:rPr>
        <w:t xml:space="preserve">היום, </w:t>
      </w:r>
      <w:sdt>
        <w:sdtPr>
          <w:rPr>
            <w:rtl/>
          </w:rPr>
          <w:alias w:val="1455"/>
          <w:tag w:val="1455"/>
          <w:id w:val="1666048407"/>
          <w:text w:multiLine="1"/>
        </w:sdtPr>
        <w:sdtEndPr/>
        <w:sdtContent>
          <w:r>
            <w:rPr>
              <w:rFonts w:ascii="Arial" w:hAnsi="Arial"/>
              <w:noProof w:val="0"/>
              <w:rtl/>
            </w:rPr>
            <w:t>כ"ו ניסן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אפריל 2023</w:t>
          </w:r>
        </w:sdtContent>
      </w:sdt>
      <w:r w:rsidR="00005C8B">
        <w:rPr>
          <w:rFonts w:ascii="Arial" w:hAnsi="Arial"/>
          <w:noProof w:val="0"/>
          <w:rtl/>
        </w:rPr>
        <w:t>, בהעדר הצדדים.</w:t>
      </w:r>
    </w:p>
    <w:p w:rsidR="00C43648" w:rsidRDefault="00A4639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20182465"/>
          <w:showingPlcHdr/>
        </w:sdtPr>
        <w:sdtEndPr/>
        <w:sdtContent>
          <w:r w:rsidR="00417AD2">
            <w:rPr>
              <w:rtl/>
            </w:rPr>
            <w:t xml:space="preserve">     </w:t>
          </w:r>
        </w:sdtContent>
      </w:sdt>
    </w:p>
    <w:p w:rsidR="00694556" w:rsidRDefault="00694556" w:rsidP="00BD6531">
      <w:pPr>
        <w:tabs>
          <w:tab w:val="left" w:pos="2553"/>
        </w:tabs>
        <w:rPr>
          <w:rFonts w:ascii="Arial" w:hAnsi="Arial"/>
          <w:noProof w:val="0"/>
          <w:rtl/>
        </w:rPr>
      </w:pPr>
    </w:p>
    <w:sectPr w:rsidR="00694556" w:rsidSect="006C30C5">
      <w:headerReference w:type="even" r:id="rId8"/>
      <w:headerReference w:type="default" r:id="rId9"/>
      <w:footerReference w:type="even" r:id="rId10"/>
      <w:footerReference w:type="default" r:id="rId11"/>
      <w:headerReference w:type="first" r:id="rId12"/>
      <w:footerReference w:type="first" r:id="rId13"/>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4639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46399">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לנוער בבית משפט השלום בנתניה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46399" w:rsidP="002D24B0">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ת"פ</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16338-11-22</w:t>
              </w:r>
            </w:sdtContent>
          </w:sdt>
          <w:r w:rsidR="00005C8B">
            <w:rPr>
              <w:b/>
              <w:bCs/>
              <w:noProof w:val="0"/>
              <w:sz w:val="26"/>
              <w:szCs w:val="26"/>
              <w:rtl/>
            </w:rPr>
            <w:t xml:space="preserve"> </w:t>
          </w:r>
          <w:sdt>
            <w:sdtPr>
              <w:rPr>
                <w:rtl/>
              </w:rPr>
              <w:alias w:val="1172"/>
              <w:tag w:val="1172"/>
              <w:id w:val="-595170033"/>
              <w:text w:multiLine="1"/>
            </w:sdtPr>
            <w:sdtEndPr/>
            <w:sdtContent>
              <w:r w:rsidR="00897DAF">
                <w:rPr>
                  <w:b/>
                  <w:bCs/>
                  <w:noProof w:val="0"/>
                  <w:sz w:val="26"/>
                  <w:szCs w:val="26"/>
                  <w:rtl/>
                </w:rPr>
                <w:t xml:space="preserve">מדינת ישראל נ' </w:t>
              </w:r>
              <w:r w:rsidR="002D24B0">
                <w:rPr>
                  <w:rFonts w:hint="cs"/>
                  <w:b/>
                  <w:bCs/>
                  <w:noProof w:val="0"/>
                  <w:sz w:val="26"/>
                  <w:szCs w:val="26"/>
                  <w:rtl/>
                </w:rPr>
                <w:t>פלוני (קטין)</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792200/2021</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1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C344E"/>
    <w:rsid w:val="002C3F4A"/>
    <w:rsid w:val="002D24B0"/>
    <w:rsid w:val="002E75E9"/>
    <w:rsid w:val="00307A6A"/>
    <w:rsid w:val="00307C40"/>
    <w:rsid w:val="0031478D"/>
    <w:rsid w:val="00320433"/>
    <w:rsid w:val="003230C7"/>
    <w:rsid w:val="00327E50"/>
    <w:rsid w:val="0033597A"/>
    <w:rsid w:val="00343D89"/>
    <w:rsid w:val="00362612"/>
    <w:rsid w:val="0036743F"/>
    <w:rsid w:val="003715DD"/>
    <w:rsid w:val="003823E0"/>
    <w:rsid w:val="003A4521"/>
    <w:rsid w:val="003D1C8C"/>
    <w:rsid w:val="0040096C"/>
    <w:rsid w:val="00414F1F"/>
    <w:rsid w:val="00417AD2"/>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1D74"/>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A077E"/>
    <w:rsid w:val="009D1A48"/>
    <w:rsid w:val="009E1CE7"/>
    <w:rsid w:val="009E4EA5"/>
    <w:rsid w:val="009F164B"/>
    <w:rsid w:val="009F323C"/>
    <w:rsid w:val="00A3392B"/>
    <w:rsid w:val="00A46399"/>
    <w:rsid w:val="00A85E34"/>
    <w:rsid w:val="00A94B64"/>
    <w:rsid w:val="00AA3229"/>
    <w:rsid w:val="00AA5DDB"/>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70A49"/>
    <w:rsid w:val="00F84B6D"/>
    <w:rsid w:val="00F957E8"/>
    <w:rsid w:val="00FA311A"/>
    <w:rsid w:val="00FA46A6"/>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172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table" w:customStyle="1" w:styleId="10">
    <w:name w:val="רשת טבלה1"/>
    <w:basedOn w:val="a1"/>
    <w:next w:val="a9"/>
    <w:rsid w:val="002D24B0"/>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69909852">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55D9A" w:rsidP="00A55D9A">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405FEA" w:rsidP="00405FEA">
          <w:pPr>
            <w:pStyle w:val="05E7DE95815641A5862D6440CD534EB06"/>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CDA250771D1A45329B0F0271A0383878"/>
        <w:category>
          <w:name w:val="כללי"/>
          <w:gallery w:val="placeholder"/>
        </w:category>
        <w:types>
          <w:type w:val="bbPlcHdr"/>
        </w:types>
        <w:behaviors>
          <w:behavior w:val="content"/>
        </w:behaviors>
        <w:guid w:val="{25232E1A-DE39-49E3-B423-C6E075C53149}"/>
      </w:docPartPr>
      <w:docPartBody>
        <w:p w:rsidR="0086433F" w:rsidRDefault="00405FEA" w:rsidP="00405FEA">
          <w:pPr>
            <w:pStyle w:val="CDA250771D1A45329B0F0271A03838786"/>
          </w:pPr>
          <w:r w:rsidRPr="00E54CD9">
            <w:rPr>
              <w:rFonts w:ascii="Arial" w:hAnsi="Arial"/>
              <w:b/>
              <w:bCs/>
              <w:noProof w:val="0"/>
              <w:sz w:val="26"/>
              <w:szCs w:val="26"/>
              <w:rtl/>
            </w:rPr>
            <w:t>מספר זיהוי צד א'</w:t>
          </w:r>
        </w:p>
      </w:docPartBody>
    </w:docPart>
    <w:docPart>
      <w:docPartPr>
        <w:name w:val="6EF1B663EBD24363AB19F352F4AAC8F8"/>
        <w:category>
          <w:name w:val="כללי"/>
          <w:gallery w:val="placeholder"/>
        </w:category>
        <w:types>
          <w:type w:val="bbPlcHdr"/>
        </w:types>
        <w:behaviors>
          <w:behavior w:val="content"/>
        </w:behaviors>
        <w:guid w:val="{0BFD9F8F-EDDA-4337-A538-71228160E36A}"/>
      </w:docPartPr>
      <w:docPartBody>
        <w:p w:rsidR="00A477D4" w:rsidRDefault="00A55D9A" w:rsidP="00A55D9A">
          <w:pPr>
            <w:pStyle w:val="6EF1B663EBD24363AB19F352F4AAC8F8"/>
          </w:pPr>
          <w:r>
            <w:rPr>
              <w:rFonts w:cs="David"/>
              <w:b/>
              <w:bCs/>
              <w:rtl/>
            </w:rPr>
            <w:t>שם פרטי חותם</w:t>
          </w:r>
        </w:p>
      </w:docPartBody>
    </w:docPart>
    <w:docPart>
      <w:docPartPr>
        <w:name w:val="8666B21BC97040E69CFA7AEA17FE689D"/>
        <w:category>
          <w:name w:val="כללי"/>
          <w:gallery w:val="placeholder"/>
        </w:category>
        <w:types>
          <w:type w:val="bbPlcHdr"/>
        </w:types>
        <w:behaviors>
          <w:behavior w:val="content"/>
        </w:behaviors>
        <w:guid w:val="{3A5FFA12-CD4A-405F-8F3F-C89CE3AAF008}"/>
      </w:docPartPr>
      <w:docPartBody>
        <w:p w:rsidR="00A477D4" w:rsidRDefault="00A55D9A" w:rsidP="00A55D9A">
          <w:pPr>
            <w:pStyle w:val="8666B21BC97040E69CFA7AEA17FE689D"/>
          </w:pPr>
          <w:r>
            <w:rPr>
              <w:rFonts w:cs="David"/>
              <w:b/>
              <w:bCs/>
              <w:rtl/>
            </w:rPr>
            <w:t>שם משפחה חותם</w:t>
          </w:r>
        </w:p>
      </w:docPartBody>
    </w:docPart>
    <w:docPart>
      <w:docPartPr>
        <w:name w:val="24D7C301080D4B1998B59F6237882F8A"/>
        <w:category>
          <w:name w:val="כללי"/>
          <w:gallery w:val="placeholder"/>
        </w:category>
        <w:types>
          <w:type w:val="bbPlcHdr"/>
        </w:types>
        <w:behaviors>
          <w:behavior w:val="content"/>
        </w:behaviors>
        <w:guid w:val="{6B66DC36-121A-4B58-89FF-703AD1D5FF52}"/>
      </w:docPartPr>
      <w:docPartBody>
        <w:p w:rsidR="00A477D4" w:rsidRDefault="00A55D9A" w:rsidP="00A55D9A">
          <w:pPr>
            <w:pStyle w:val="24D7C301080D4B1998B59F6237882F8A"/>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477D4"/>
    <w:rsid w:val="00A55D9A"/>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A55D9A"/>
    <w:pPr>
      <w:bidi/>
      <w:spacing w:after="0" w:line="240" w:lineRule="auto"/>
    </w:pPr>
    <w:rPr>
      <w:rFonts w:ascii="Times New Roman" w:eastAsia="Times New Roman" w:hAnsi="Times New Roman" w:cs="David"/>
      <w:noProof/>
      <w:sz w:val="24"/>
      <w:szCs w:val="24"/>
    </w:rPr>
  </w:style>
  <w:style w:type="paragraph" w:customStyle="1" w:styleId="8851F76BD4FD494D8582465FA7DE5318">
    <w:name w:val="8851F76BD4FD494D8582465FA7DE5318"/>
    <w:rsid w:val="00A55D9A"/>
    <w:pPr>
      <w:bidi/>
      <w:spacing w:after="160" w:line="259" w:lineRule="auto"/>
    </w:pPr>
  </w:style>
  <w:style w:type="paragraph" w:customStyle="1" w:styleId="F70200408D664985B632B873009639CC">
    <w:name w:val="F70200408D664985B632B873009639CC"/>
    <w:rsid w:val="00A55D9A"/>
    <w:pPr>
      <w:bidi/>
      <w:spacing w:after="160" w:line="259" w:lineRule="auto"/>
    </w:pPr>
  </w:style>
  <w:style w:type="paragraph" w:customStyle="1" w:styleId="76E9D5AC10CA4F50B83122B9FADD92A7">
    <w:name w:val="76E9D5AC10CA4F50B83122B9FADD92A7"/>
    <w:rsid w:val="00A55D9A"/>
    <w:pPr>
      <w:bidi/>
      <w:spacing w:after="160" w:line="259" w:lineRule="auto"/>
    </w:pPr>
  </w:style>
  <w:style w:type="paragraph" w:customStyle="1" w:styleId="48841A385C6442059E5FF8E8D5DEADC0">
    <w:name w:val="48841A385C6442059E5FF8E8D5DEADC0"/>
    <w:rsid w:val="00A55D9A"/>
    <w:pPr>
      <w:bidi/>
      <w:spacing w:after="160" w:line="259" w:lineRule="auto"/>
    </w:pPr>
  </w:style>
  <w:style w:type="paragraph" w:customStyle="1" w:styleId="1DEA84A38E6243FE809BA3A5F09903FA">
    <w:name w:val="1DEA84A38E6243FE809BA3A5F09903FA"/>
    <w:rsid w:val="00A55D9A"/>
    <w:pPr>
      <w:bidi/>
      <w:spacing w:after="160" w:line="259" w:lineRule="auto"/>
    </w:pPr>
  </w:style>
  <w:style w:type="paragraph" w:customStyle="1" w:styleId="67CA410F81434B119E173C7B0621DD65">
    <w:name w:val="67CA410F81434B119E173C7B0621DD65"/>
    <w:rsid w:val="00A55D9A"/>
    <w:pPr>
      <w:bidi/>
      <w:spacing w:after="160" w:line="259" w:lineRule="auto"/>
    </w:pPr>
  </w:style>
  <w:style w:type="paragraph" w:customStyle="1" w:styleId="C7E935B5EF2443D2A526B96BDD4322E4">
    <w:name w:val="C7E935B5EF2443D2A526B96BDD4322E4"/>
    <w:rsid w:val="00A55D9A"/>
    <w:pPr>
      <w:bidi/>
      <w:spacing w:after="160" w:line="259" w:lineRule="auto"/>
    </w:pPr>
  </w:style>
  <w:style w:type="paragraph" w:customStyle="1" w:styleId="7FF485EDB4EB4335912616F46C01F5D0">
    <w:name w:val="7FF485EDB4EB4335912616F46C01F5D0"/>
    <w:rsid w:val="00A55D9A"/>
    <w:pPr>
      <w:bidi/>
      <w:spacing w:after="160" w:line="259" w:lineRule="auto"/>
    </w:pPr>
  </w:style>
  <w:style w:type="paragraph" w:customStyle="1" w:styleId="6F454F87ABA24F13BD45F0806AB5EFAE">
    <w:name w:val="6F454F87ABA24F13BD45F0806AB5EFAE"/>
    <w:rsid w:val="00A55D9A"/>
    <w:pPr>
      <w:bidi/>
      <w:spacing w:after="160" w:line="259" w:lineRule="auto"/>
    </w:pPr>
  </w:style>
  <w:style w:type="paragraph" w:customStyle="1" w:styleId="1F5B0FF208C24A64ABD5212D8575FC6E">
    <w:name w:val="1F5B0FF208C24A64ABD5212D8575FC6E"/>
    <w:rsid w:val="00A55D9A"/>
    <w:pPr>
      <w:bidi/>
      <w:spacing w:after="160" w:line="259" w:lineRule="auto"/>
    </w:pPr>
  </w:style>
  <w:style w:type="paragraph" w:customStyle="1" w:styleId="6EF1B663EBD24363AB19F352F4AAC8F8">
    <w:name w:val="6EF1B663EBD24363AB19F352F4AAC8F8"/>
    <w:rsid w:val="00A55D9A"/>
    <w:pPr>
      <w:bidi/>
      <w:spacing w:after="160" w:line="259" w:lineRule="auto"/>
    </w:pPr>
  </w:style>
  <w:style w:type="paragraph" w:customStyle="1" w:styleId="8666B21BC97040E69CFA7AEA17FE689D">
    <w:name w:val="8666B21BC97040E69CFA7AEA17FE689D"/>
    <w:rsid w:val="00A55D9A"/>
    <w:pPr>
      <w:bidi/>
      <w:spacing w:after="160" w:line="259" w:lineRule="auto"/>
    </w:pPr>
  </w:style>
  <w:style w:type="paragraph" w:customStyle="1" w:styleId="24D7C301080D4B1998B59F6237882F8A">
    <w:name w:val="24D7C301080D4B1998B59F6237882F8A"/>
    <w:rsid w:val="00A55D9A"/>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1341</Words>
  <Characters>6710</Characters>
  <Application>Microsoft Office Word</Application>
  <DocSecurity>4</DocSecurity>
  <Lines>55</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מיכל דגן</cp:lastModifiedBy>
  <cp:revision>2</cp:revision>
  <dcterms:created xsi:type="dcterms:W3CDTF">2023-04-17T08:15:00Z</dcterms:created>
  <dcterms:modified xsi:type="dcterms:W3CDTF">2023-04-17T08:15:00Z</dcterms:modified>
</cp:coreProperties>
</file>